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13E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黄石市卫健委2025年法治政府建设情况</w:t>
      </w:r>
    </w:p>
    <w:p w14:paraId="6D675C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工作报告</w:t>
      </w:r>
    </w:p>
    <w:p w14:paraId="29E806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3CB0B8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我委坚持以习近平新时代中国特色社会主义思想为指导，深入学习贯彻习近平法治思想，紧扣法治政府建设目标要求，将法治政府建设与卫健中心工作深度融合、一体推进，确保法治建设责任全面落实落地，为我市卫生健康事业高质量发展</w:t>
      </w:r>
      <w:bookmarkStart w:id="0" w:name="_GoBack"/>
      <w:bookmarkEnd w:id="0"/>
      <w:r>
        <w:rPr>
          <w:rFonts w:hint="eastAsia" w:ascii="仿宋_GB2312" w:hAnsi="仿宋_GB2312" w:eastAsia="仿宋_GB2312" w:cs="仿宋_GB2312"/>
          <w:color w:val="auto"/>
          <w:sz w:val="32"/>
          <w:szCs w:val="32"/>
          <w:lang w:val="en-US" w:eastAsia="zh-CN"/>
        </w:rPr>
        <w:t>筑牢坚实法治保障。现将全年工作情况报告如下：</w:t>
      </w:r>
    </w:p>
    <w:p w14:paraId="2EDD18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黑体" w:hAnsi="黑体" w:eastAsia="黑体" w:cs="黑体"/>
          <w:sz w:val="32"/>
          <w:szCs w:val="32"/>
          <w:lang w:val="en-US" w:eastAsia="zh-CN"/>
        </w:rPr>
        <w:t>一、2025年度推进法治政府建设的主要举措和成效</w:t>
      </w:r>
    </w:p>
    <w:p w14:paraId="7C3FA87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（一）强化政治引领，法治建设根基持续夯实</w:t>
      </w:r>
    </w:p>
    <w:p w14:paraId="4EDCB3F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 坚持党对法治政府建设全面领导。</w:t>
      </w:r>
      <w:r>
        <w:rPr>
          <w:rFonts w:hint="eastAsia" w:ascii="仿宋_GB2312" w:hAnsi="仿宋_GB2312" w:eastAsia="仿宋_GB2312" w:cs="仿宋_GB2312"/>
          <w:color w:val="auto"/>
          <w:sz w:val="32"/>
          <w:szCs w:val="32"/>
          <w:lang w:val="en-US" w:eastAsia="zh-CN"/>
        </w:rPr>
        <w:t>委党政主要负责人严格履行推进法治建设第一责任人职责，坚决落实“重要工作亲自部署、重大问题亲自过问、重点环节亲自协调、重要任务亲自督办”要求，将法治政府建设重点任务、关键举措纳入年度工作计划，实现与行政业务工作同部署、同推进、同督促、同考核，委党组专题听取法治政府建设工作汇报，及时研究解决执法重大事项、法治领域突出问题，充分发挥把方向、管大局、保落实的重要作用。</w:t>
      </w:r>
    </w:p>
    <w:p w14:paraId="565B7C1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2.深化领导干部学法用法机制。</w:t>
      </w:r>
      <w:r>
        <w:rPr>
          <w:rFonts w:hint="eastAsia" w:ascii="仿宋_GB2312" w:hAnsi="仿宋_GB2312" w:eastAsia="仿宋_GB2312" w:cs="仿宋_GB2312"/>
          <w:color w:val="auto"/>
          <w:sz w:val="32"/>
          <w:szCs w:val="32"/>
          <w:lang w:val="en-US" w:eastAsia="zh-CN"/>
        </w:rPr>
        <w:t>把习近平法治思想、《宪法》及卫健领域核心法律法规纳入党组理论学习中心组学习必修内容，全年开展法治专题学习4次以上，以“关键少数”带动“绝大多数”。</w:t>
      </w:r>
    </w:p>
    <w:p w14:paraId="680F864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 压实法治建设工作责任。</w:t>
      </w:r>
      <w:r>
        <w:rPr>
          <w:rFonts w:hint="eastAsia" w:ascii="仿宋_GB2312" w:hAnsi="仿宋_GB2312" w:eastAsia="仿宋_GB2312" w:cs="仿宋_GB2312"/>
          <w:color w:val="auto"/>
          <w:sz w:val="32"/>
          <w:szCs w:val="32"/>
          <w:lang w:val="en-US" w:eastAsia="zh-CN"/>
        </w:rPr>
        <w:t>健全法治政府建设工作体系，压实各科室、直属单位法治建设责任，形成党组统筹、全员参与的法治建设工作格局，确保法治政府建设各项任务落地见效。</w:t>
      </w:r>
    </w:p>
    <w:p w14:paraId="3B79E8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（二）规范依法决策，决策质量效能显著提升</w:t>
      </w:r>
    </w:p>
    <w:p w14:paraId="49B2BD0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 健全决策法治审查机制。</w:t>
      </w:r>
      <w:r>
        <w:rPr>
          <w:rFonts w:hint="eastAsia" w:ascii="仿宋_GB2312" w:hAnsi="仿宋_GB2312" w:eastAsia="仿宋_GB2312" w:cs="仿宋_GB2312"/>
          <w:color w:val="auto"/>
          <w:sz w:val="32"/>
          <w:szCs w:val="32"/>
          <w:lang w:val="en-US" w:eastAsia="zh-CN"/>
        </w:rPr>
        <w:t>将合法性审查、公平竞争审查作为“三重一大”决策前置程序，严把决策“法治关”，确保重大决策合法合规。</w:t>
      </w:r>
    </w:p>
    <w:p w14:paraId="79BAD4B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 规范重大行政决策程序。</w:t>
      </w:r>
      <w:r>
        <w:rPr>
          <w:rFonts w:hint="eastAsia" w:ascii="仿宋_GB2312" w:hAnsi="仿宋_GB2312" w:eastAsia="仿宋_GB2312" w:cs="仿宋_GB2312"/>
          <w:color w:val="auto"/>
          <w:sz w:val="32"/>
          <w:szCs w:val="32"/>
          <w:lang w:val="en-US" w:eastAsia="zh-CN"/>
        </w:rPr>
        <w:t>2025年我市规范出台了《黄石市关于进一步完善落实生育支持政策推动生育友好型城市建设的若干措施》，全面落实决策启动、公众参与、风险评估、合法性审查、集体讨论决定和公布等法定流程，提升决策科学化、民主化、法治化水平。</w:t>
      </w:r>
    </w:p>
    <w:p w14:paraId="30EA4BF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3.强化法律顾问“智囊”作用。</w:t>
      </w:r>
      <w:r>
        <w:rPr>
          <w:rFonts w:hint="eastAsia" w:ascii="仿宋_GB2312" w:hAnsi="仿宋_GB2312" w:eastAsia="仿宋_GB2312" w:cs="仿宋_GB2312"/>
          <w:color w:val="auto"/>
          <w:sz w:val="32"/>
          <w:szCs w:val="32"/>
          <w:lang w:val="en-US" w:eastAsia="zh-CN"/>
        </w:rPr>
        <w:t>长期聘请专业法律顾问参与合同审核、执法把关、纠纷化解等工作，2025年，累计审核合同及法律文书100余份，处理行政处罚、咨询案件40余件，参与会议研讨10余次，有效防范法律风险。</w:t>
      </w:r>
    </w:p>
    <w:p w14:paraId="4334170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 依法化解行政争议。</w:t>
      </w:r>
      <w:r>
        <w:rPr>
          <w:rFonts w:hint="eastAsia" w:ascii="仿宋_GB2312" w:hAnsi="仿宋_GB2312" w:eastAsia="仿宋_GB2312" w:cs="仿宋_GB2312"/>
          <w:color w:val="auto"/>
          <w:sz w:val="32"/>
          <w:szCs w:val="32"/>
          <w:lang w:val="en-US" w:eastAsia="zh-CN"/>
        </w:rPr>
        <w:t>规范受理群众举报投诉，及时回应群众关切，妥善办理行政复议应诉工作，行政负责人出庭应诉率100%，认真做好行政诉讼案件应诉工作，经法院审理后全部驳回原告诉讼请求，依法行政成效显著。</w:t>
      </w:r>
    </w:p>
    <w:p w14:paraId="00035A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w:t>
      </w:r>
      <w:r>
        <w:rPr>
          <w:rFonts w:hint="eastAsia" w:ascii="楷体_GB2312" w:hAnsi="楷体_GB2312" w:eastAsia="楷体_GB2312" w:cs="楷体_GB2312"/>
          <w:b w:val="0"/>
          <w:bCs w:val="0"/>
          <w:color w:val="auto"/>
          <w:sz w:val="36"/>
          <w:szCs w:val="36"/>
          <w:lang w:val="en-US" w:eastAsia="zh-CN"/>
        </w:rPr>
        <w:t>）严格规范执法，行政执法行为更加有序</w:t>
      </w:r>
    </w:p>
    <w:p w14:paraId="022A96D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 规范涉企执法行为。</w:t>
      </w:r>
      <w:r>
        <w:rPr>
          <w:rFonts w:hint="eastAsia" w:ascii="仿宋_GB2312" w:hAnsi="仿宋_GB2312" w:eastAsia="仿宋_GB2312" w:cs="仿宋_GB2312"/>
          <w:color w:val="auto"/>
          <w:sz w:val="32"/>
          <w:szCs w:val="32"/>
          <w:lang w:val="en-US" w:eastAsia="zh-CN"/>
        </w:rPr>
        <w:t>组织开展近两年信访投诉、12345热线诉求、涉法涉诉案件清理自查，对发现的问题明确整改措施、时限和责任人，全部按要求完成整改销号；严格落实“扫码入企”要求，实时上传入企调研、检查数据170次，确保入企行为合法合规。</w:t>
      </w:r>
    </w:p>
    <w:p w14:paraId="0D56287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2.强化执法质量管控。</w:t>
      </w:r>
      <w:r>
        <w:rPr>
          <w:rFonts w:hint="eastAsia" w:ascii="仿宋_GB2312" w:hAnsi="仿宋_GB2312" w:eastAsia="仿宋_GB2312" w:cs="仿宋_GB2312"/>
          <w:color w:val="auto"/>
          <w:sz w:val="32"/>
          <w:szCs w:val="32"/>
          <w:lang w:val="en-US" w:eastAsia="zh-CN"/>
        </w:rPr>
        <w:t>常态化开展行政执法案卷评查和案件审核稽查，我委已连续三年案卷评查获评优秀，获市司法局通报表扬；针对性开展行政执法规范化培训，持续提升执法人员专业能力。</w:t>
      </w:r>
    </w:p>
    <w:p w14:paraId="6A1D5F2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3.全面落实行政执法“三项制度”。</w:t>
      </w:r>
      <w:r>
        <w:rPr>
          <w:rFonts w:hint="eastAsia" w:ascii="仿宋_GB2312" w:hAnsi="仿宋_GB2312" w:eastAsia="仿宋_GB2312" w:cs="仿宋_GB2312"/>
          <w:color w:val="auto"/>
          <w:sz w:val="32"/>
          <w:szCs w:val="32"/>
          <w:lang w:val="en-US" w:eastAsia="zh-CN"/>
        </w:rPr>
        <w:t>全年公示行政处罚信息34条、双随机一公开信息8条，审核重大行政执法案件24起，组织重大事项集体讨论案件2起，所有行政执法案件过程全程记录，实现执法公开透明、规范合法。</w:t>
      </w:r>
    </w:p>
    <w:p w14:paraId="6DE35BD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4.强化执法制度建设。</w:t>
      </w:r>
      <w:r>
        <w:rPr>
          <w:rFonts w:hint="eastAsia" w:ascii="仿宋_GB2312" w:hAnsi="仿宋_GB2312" w:eastAsia="仿宋_GB2312" w:cs="仿宋_GB2312"/>
          <w:color w:val="auto"/>
          <w:sz w:val="32"/>
          <w:szCs w:val="32"/>
          <w:lang w:val="en-US" w:eastAsia="zh-CN"/>
        </w:rPr>
        <w:t>针对卫健领域高频违法事项、重点产业链违法风险点，编制“通用版、专业版、个性版、预防为主”四类指导清单；结合涉企执法清查问题，修订行政执法制度3个，为规范执法提供制度支撑。</w:t>
      </w:r>
    </w:p>
    <w:p w14:paraId="6527C5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（四）优化法治营商环境，服务发展活力持续激发</w:t>
      </w:r>
    </w:p>
    <w:p w14:paraId="7E1573C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1.深化“放管服”改革。</w:t>
      </w:r>
      <w:r>
        <w:rPr>
          <w:rFonts w:hint="eastAsia" w:ascii="仿宋_GB2312" w:hAnsi="仿宋_GB2312" w:eastAsia="仿宋_GB2312" w:cs="仿宋_GB2312"/>
          <w:color w:val="auto"/>
          <w:sz w:val="32"/>
          <w:szCs w:val="32"/>
          <w:lang w:val="en-US" w:eastAsia="zh-CN"/>
        </w:rPr>
        <w:t>分类处理涉企经营许可事项，推进直接取消审批、审批改备案、告知承诺、优化准入等服务，全面推行“一网通办”“一窗受理”，优化医疗机构校验、医护注册等审批流程，推进线上线下服务深度融合，全年审批事项按时办结率100%。</w:t>
      </w:r>
    </w:p>
    <w:p w14:paraId="27BB66A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2.提升政务服务质效。</w:t>
      </w:r>
      <w:r>
        <w:rPr>
          <w:rFonts w:hint="eastAsia" w:ascii="仿宋_GB2312" w:hAnsi="仿宋_GB2312" w:eastAsia="仿宋_GB2312" w:cs="仿宋_GB2312"/>
          <w:color w:val="auto"/>
          <w:sz w:val="32"/>
          <w:szCs w:val="32"/>
          <w:lang w:val="en-US" w:eastAsia="zh-CN"/>
        </w:rPr>
        <w:t>严格落实首问负责、一次性告知、限时办结制度，推行“前台综合受理、后台分类审批、统一窗口出件”模式，政务服务效率和企业群众办事满意度持续提升。</w:t>
      </w:r>
    </w:p>
    <w:p w14:paraId="0F6CDB4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3.推行精准监管服务。</w:t>
      </w:r>
      <w:r>
        <w:rPr>
          <w:rFonts w:hint="eastAsia" w:ascii="仿宋_GB2312" w:hAnsi="仿宋_GB2312" w:eastAsia="仿宋_GB2312" w:cs="仿宋_GB2312"/>
          <w:color w:val="auto"/>
          <w:sz w:val="32"/>
          <w:szCs w:val="32"/>
          <w:lang w:val="en-US" w:eastAsia="zh-CN"/>
        </w:rPr>
        <w:t>通过分级分类管理、多部门联合检查，最大限度减少对服务单位正常经营的干扰；创新柔性执法模式，落实“首违不罚+公益减罚+轻微速罚”制度，全年办理柔性执法案件34起，开展信用修复16起，1起案例获评2024年湖北省社会信用体系建设优秀案例。</w:t>
      </w:r>
    </w:p>
    <w:p w14:paraId="0AB9D7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（五）深化普法宣教，全民法治素养稳步提升</w:t>
      </w:r>
    </w:p>
    <w:p w14:paraId="314DF05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1.积极落实普法责任。</w:t>
      </w:r>
      <w:r>
        <w:rPr>
          <w:rFonts w:hint="eastAsia" w:ascii="仿宋_GB2312" w:hAnsi="仿宋_GB2312" w:eastAsia="仿宋_GB2312" w:cs="仿宋_GB2312"/>
          <w:color w:val="auto"/>
          <w:sz w:val="32"/>
          <w:szCs w:val="32"/>
          <w:lang w:val="en-US" w:eastAsia="zh-CN"/>
        </w:rPr>
        <w:t>编制《黄石市卫生健康委员会2025年度普法责任清单》，制定年度工作要点，依托“3·15”国际消费者权益日、“3·24”世界防治结核病日、“职业病防治法宣传周”、“民法典宣传月”、“宪法宣传周”等节点开展主题普法活动，普及健康权益保护和卫健法律法规知识，提升全民法治素养与健康意识。</w:t>
      </w:r>
    </w:p>
    <w:p w14:paraId="622BF6F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2.强化分层分类培训。</w:t>
      </w:r>
      <w:r>
        <w:rPr>
          <w:rFonts w:hint="eastAsia" w:ascii="仿宋_GB2312" w:hAnsi="仿宋_GB2312" w:eastAsia="仿宋_GB2312" w:cs="仿宋_GB2312"/>
          <w:color w:val="auto"/>
          <w:sz w:val="32"/>
          <w:szCs w:val="32"/>
          <w:lang w:val="en-US" w:eastAsia="zh-CN"/>
        </w:rPr>
        <w:t>举办传染病防控监督执法、职业卫生监管等专题培训，组织学习新修订《传染病防治法》《突发公共卫生事件应对法》等法律法规，积极组织参加上级法治培训，持续增强执法人员学法守法用法意识。</w:t>
      </w:r>
    </w:p>
    <w:p w14:paraId="36E6D43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二、推进法治政府建设存在的不足</w:t>
      </w:r>
    </w:p>
    <w:p w14:paraId="2197AF0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行政执法队伍专业能力有待提升，部分执法人员法治思维、专业业务素养与新形势下卫健执法新任务、新要求存在差距，复杂案件办理和法治化解问题能力不足。</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法治宣传教育质效不够突出，法治宣传覆盖面不够广，深入基层、企业、医疗机构的精准普法力度不足，宣传形式创新性不强，线上线下融合普法效果未充分发挥。</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法治与业务融合深度不足，部分业务工作中法治思维运用不够充分，依法治理的自觉性和能力有待加强。</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法治建设保障力度需进一步加强，专业法制审核人才相对短缺，法治建设信息化、智能化应用水平有待提升。</w:t>
      </w:r>
    </w:p>
    <w:p w14:paraId="17ED9C6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三、党政主要负责人履行推进法治建设第一责任人职责、加强法治政府建设的有关情况</w:t>
      </w:r>
    </w:p>
    <w:p w14:paraId="141B68C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（一）深学笃行习近平法治思想，筑牢法治履职思想根基</w:t>
      </w:r>
    </w:p>
    <w:p w14:paraId="3667372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1.带头抓实理论学习。</w:t>
      </w:r>
      <w:r>
        <w:rPr>
          <w:rFonts w:hint="eastAsia" w:ascii="仿宋_GB2312" w:hAnsi="仿宋_GB2312" w:eastAsia="仿宋_GB2312" w:cs="仿宋_GB2312"/>
          <w:color w:val="auto"/>
          <w:sz w:val="32"/>
          <w:szCs w:val="32"/>
          <w:lang w:val="en-US" w:eastAsia="zh-CN"/>
        </w:rPr>
        <w:t>将习近平法治思想作为党组理论学习中心组核心学习内容，带头领学宣讲，严格落实领导班子定期学法制度，以自身示范带动系统干部学法用法。2025年委党组会学习纪法相关内容22次，委中心组学习纪法相关内容9次。</w:t>
      </w:r>
    </w:p>
    <w:p w14:paraId="7D3D7A8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2.践行法治思维履职。</w:t>
      </w:r>
      <w:r>
        <w:rPr>
          <w:rFonts w:hint="eastAsia" w:ascii="仿宋_GB2312" w:hAnsi="仿宋_GB2312" w:eastAsia="仿宋_GB2312" w:cs="仿宋_GB2312"/>
          <w:color w:val="auto"/>
          <w:sz w:val="32"/>
          <w:szCs w:val="32"/>
          <w:lang w:val="en-US" w:eastAsia="zh-CN"/>
        </w:rPr>
        <w:t>自觉运用法治思维和方式深化卫健改革、推动事业发展、化解医患矛盾、维护行业稳定，确保各项工作始终在法治轨道上推进。</w:t>
      </w:r>
    </w:p>
    <w:p w14:paraId="6298CE3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（二）强化组织领导，统筹推进法治政府建设落地</w:t>
      </w:r>
    </w:p>
    <w:p w14:paraId="0F64DF3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1.统筹谋划部署。</w:t>
      </w:r>
      <w:r>
        <w:rPr>
          <w:rFonts w:hint="eastAsia" w:ascii="仿宋_GB2312" w:hAnsi="仿宋_GB2312" w:eastAsia="仿宋_GB2312" w:cs="仿宋_GB2312"/>
          <w:color w:val="auto"/>
          <w:sz w:val="32"/>
          <w:szCs w:val="32"/>
          <w:lang w:val="en-US" w:eastAsia="zh-CN"/>
        </w:rPr>
        <w:t>认真审核年度法治政府建设工作计划，将法治建设纳入年度绩效考核核心内容，实现法治与业务一体部署、一体推进。</w:t>
      </w:r>
    </w:p>
    <w:p w14:paraId="57E138F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2.督办解决难题。</w:t>
      </w:r>
      <w:r>
        <w:rPr>
          <w:rFonts w:hint="eastAsia" w:ascii="仿宋_GB2312" w:hAnsi="仿宋_GB2312" w:eastAsia="仿宋_GB2312" w:cs="仿宋_GB2312"/>
          <w:color w:val="auto"/>
          <w:sz w:val="32"/>
          <w:szCs w:val="32"/>
          <w:lang w:val="en-US" w:eastAsia="zh-CN"/>
        </w:rPr>
        <w:t>定期主持召开党组会专题听取法治政府建设工作汇报，研究解决涉企执法、行政应诉、普法宣传等重大问题，审核签批法治建设重要文件、请示报告，督办法治建设问题的整改落实，问题事项均按时办结。</w:t>
      </w:r>
    </w:p>
    <w:p w14:paraId="1E2995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（三）严守决策程序，提升依法决策和政务公开水平</w:t>
      </w:r>
    </w:p>
    <w:p w14:paraId="097B351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1.严把决策法治关口。</w:t>
      </w:r>
      <w:r>
        <w:rPr>
          <w:rFonts w:hint="eastAsia" w:ascii="仿宋_GB2312" w:hAnsi="仿宋_GB2312" w:eastAsia="仿宋_GB2312" w:cs="仿宋_GB2312"/>
          <w:color w:val="auto"/>
          <w:sz w:val="32"/>
          <w:szCs w:val="32"/>
          <w:lang w:val="en-US" w:eastAsia="zh-CN"/>
        </w:rPr>
        <w:t>认真审定年度重大行政决策目录，严格执行重大行政决策法定程序，督促落实合法性审查、法制审核、法律顾问等制度，亲自组织参加行政规范性文件讨论、审议、签发等工作。</w:t>
      </w:r>
    </w:p>
    <w:p w14:paraId="7A27232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2.全面推进政务公开。</w:t>
      </w:r>
      <w:r>
        <w:rPr>
          <w:rFonts w:hint="eastAsia" w:ascii="仿宋_GB2312" w:hAnsi="仿宋_GB2312" w:eastAsia="仿宋_GB2312" w:cs="仿宋_GB2312"/>
          <w:color w:val="auto"/>
          <w:sz w:val="32"/>
          <w:szCs w:val="32"/>
          <w:lang w:val="en-US" w:eastAsia="zh-CN"/>
        </w:rPr>
        <w:t>督促完善政府信息公开制度，通过委官网主动公开行政处罚、行政许可、饮用水监测及监督检查等信息2630条，依法公开法治政府建设年度报告，推动依申请公开事项落实，充分保障群众知情权、监督权。</w:t>
      </w:r>
    </w:p>
    <w:p w14:paraId="28AF20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（四）依法履职尽责，推动严格规范公正文明执法</w:t>
      </w:r>
    </w:p>
    <w:p w14:paraId="763F772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1.深化“放管服”改革。</w:t>
      </w:r>
      <w:r>
        <w:rPr>
          <w:rFonts w:hint="eastAsia" w:ascii="仿宋_GB2312" w:hAnsi="仿宋_GB2312" w:eastAsia="仿宋_GB2312" w:cs="仿宋_GB2312"/>
          <w:color w:val="auto"/>
          <w:sz w:val="32"/>
          <w:szCs w:val="32"/>
          <w:lang w:val="en-US" w:eastAsia="zh-CN"/>
        </w:rPr>
        <w:t>积极推进卫健领域行政审批制度改革，强化市场主体平等保护，持续优化法治化营商环境，推动政务服务提质增效。</w:t>
      </w:r>
    </w:p>
    <w:p w14:paraId="0821601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2.规范行政执法行为。</w:t>
      </w:r>
      <w:r>
        <w:rPr>
          <w:rFonts w:hint="eastAsia" w:ascii="仿宋_GB2312" w:hAnsi="仿宋_GB2312" w:eastAsia="仿宋_GB2312" w:cs="仿宋_GB2312"/>
          <w:color w:val="auto"/>
          <w:sz w:val="32"/>
          <w:szCs w:val="32"/>
          <w:lang w:val="en-US" w:eastAsia="zh-CN"/>
        </w:rPr>
        <w:t>督促全面落实行政执法“三项制度”，推进执法体制改革，亲自组织参加两起重大案件集体讨论，全面落实行政执法与刑事司法衔接，确保执法行为规范公正。</w:t>
      </w:r>
    </w:p>
    <w:p w14:paraId="4F5410A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3.优化柔性执法机制。</w:t>
      </w:r>
      <w:r>
        <w:rPr>
          <w:rFonts w:hint="default" w:ascii="仿宋_GB2312" w:hAnsi="仿宋_GB2312" w:eastAsia="仿宋_GB2312" w:cs="仿宋_GB2312"/>
          <w:color w:val="auto"/>
          <w:sz w:val="32"/>
          <w:szCs w:val="32"/>
          <w:lang w:val="en-US" w:eastAsia="zh-CN"/>
        </w:rPr>
        <w:t>坚持以法治方式优化营商环境、以服务理念重塑执法行为，</w:t>
      </w:r>
      <w:r>
        <w:rPr>
          <w:rFonts w:hint="eastAsia" w:ascii="仿宋_GB2312" w:hAnsi="仿宋_GB2312" w:eastAsia="仿宋_GB2312" w:cs="仿宋_GB2312"/>
          <w:color w:val="auto"/>
          <w:sz w:val="32"/>
          <w:szCs w:val="32"/>
          <w:lang w:val="en-US" w:eastAsia="zh-CN"/>
        </w:rPr>
        <w:t>推行柔性执法和信用修复，</w:t>
      </w:r>
      <w:r>
        <w:rPr>
          <w:rFonts w:hint="default" w:ascii="仿宋_GB2312" w:hAnsi="仿宋_GB2312" w:eastAsia="仿宋_GB2312" w:cs="仿宋_GB2312"/>
          <w:color w:val="auto"/>
          <w:sz w:val="32"/>
          <w:szCs w:val="32"/>
          <w:lang w:val="en-US" w:eastAsia="zh-CN"/>
        </w:rPr>
        <w:t>推动</w:t>
      </w:r>
      <w:r>
        <w:rPr>
          <w:rFonts w:hint="eastAsia" w:ascii="仿宋_GB2312" w:hAnsi="仿宋_GB2312" w:eastAsia="仿宋_GB2312" w:cs="仿宋_GB2312"/>
          <w:color w:val="auto"/>
          <w:sz w:val="32"/>
          <w:szCs w:val="32"/>
          <w:lang w:val="en-US" w:eastAsia="zh-CN"/>
        </w:rPr>
        <w:t>行政</w:t>
      </w:r>
      <w:r>
        <w:rPr>
          <w:rFonts w:hint="default" w:ascii="仿宋_GB2312" w:hAnsi="仿宋_GB2312" w:eastAsia="仿宋_GB2312" w:cs="仿宋_GB2312"/>
          <w:color w:val="auto"/>
          <w:sz w:val="32"/>
          <w:szCs w:val="32"/>
          <w:lang w:val="en-US" w:eastAsia="zh-CN"/>
        </w:rPr>
        <w:t>执法向“服务型”转变，切实为</w:t>
      </w:r>
      <w:r>
        <w:rPr>
          <w:rFonts w:hint="default" w:ascii="仿宋_GB2312" w:hAnsi="仿宋_GB2312" w:eastAsia="仿宋_GB2312" w:cs="仿宋_GB2312"/>
          <w:b w:val="0"/>
          <w:bCs w:val="0"/>
          <w:sz w:val="32"/>
          <w:szCs w:val="32"/>
          <w:lang w:val="en-US" w:eastAsia="zh-CN"/>
        </w:rPr>
        <w:t>企业减负</w:t>
      </w:r>
      <w:r>
        <w:rPr>
          <w:rFonts w:hint="eastAsia" w:ascii="仿宋_GB2312" w:hAnsi="仿宋_GB2312" w:eastAsia="仿宋_GB2312" w:cs="仿宋_GB2312"/>
          <w:color w:val="auto"/>
          <w:sz w:val="32"/>
          <w:szCs w:val="32"/>
          <w:lang w:val="en-US" w:eastAsia="zh-CN"/>
        </w:rPr>
        <w:t>。</w:t>
      </w:r>
    </w:p>
    <w:p w14:paraId="09BD096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（五）强化监督问责，督促依法行政和争议化解</w:t>
      </w:r>
    </w:p>
    <w:p w14:paraId="6F3FB43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1.督促班子履职。</w:t>
      </w:r>
      <w:r>
        <w:rPr>
          <w:rFonts w:hint="eastAsia" w:ascii="仿宋_GB2312" w:hAnsi="仿宋_GB2312" w:eastAsia="仿宋_GB2312" w:cs="仿宋_GB2312"/>
          <w:color w:val="auto"/>
          <w:sz w:val="32"/>
          <w:szCs w:val="32"/>
          <w:lang w:val="en-US" w:eastAsia="zh-CN"/>
        </w:rPr>
        <w:t>通过民主生活会、个别谈话等方式，督促领导班子其他成员履行“一岗双责”，抓好分管领域法治建设工作，带头开展年终述法工作，推进依法行政。</w:t>
      </w:r>
    </w:p>
    <w:p w14:paraId="3FF2CB3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2.强化监督体系。</w:t>
      </w:r>
      <w:r>
        <w:rPr>
          <w:rFonts w:hint="eastAsia" w:ascii="仿宋_GB2312" w:hAnsi="仿宋_GB2312" w:eastAsia="仿宋_GB2312" w:cs="仿宋_GB2312"/>
          <w:color w:val="auto"/>
          <w:sz w:val="32"/>
          <w:szCs w:val="32"/>
          <w:lang w:val="en-US" w:eastAsia="zh-CN"/>
        </w:rPr>
        <w:t>强化对卫健执法机构的监督，自觉接受人大监督、群众监督和舆论监督，重视行政复议、行政诉讼化解行政争议作用，认真落实行政负责人出庭应诉制度，尊重并执行法院生效裁判和行政复议决定。</w:t>
      </w:r>
    </w:p>
    <w:p w14:paraId="416D3AF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3.严守司法纪律。</w:t>
      </w:r>
      <w:r>
        <w:rPr>
          <w:rFonts w:hint="eastAsia" w:ascii="仿宋_GB2312" w:hAnsi="仿宋_GB2312" w:eastAsia="仿宋_GB2312" w:cs="仿宋_GB2312"/>
          <w:color w:val="auto"/>
          <w:sz w:val="32"/>
          <w:szCs w:val="32"/>
          <w:lang w:val="en-US" w:eastAsia="zh-CN"/>
        </w:rPr>
        <w:t>严格落实领导干部不得干预执法活动、插手具体案件的规定，支持检察机关公益诉讼、法院依法受理行政案件，维护司法权威。</w:t>
      </w:r>
    </w:p>
    <w:p w14:paraId="1243E7D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（六）深化普法宣教，营造浓厚法治氛围</w:t>
      </w:r>
    </w:p>
    <w:p w14:paraId="30CB656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1.带头学法用法。</w:t>
      </w:r>
      <w:r>
        <w:rPr>
          <w:rFonts w:hint="eastAsia" w:ascii="仿宋_GB2312" w:hAnsi="仿宋_GB2312" w:eastAsia="仿宋_GB2312" w:cs="仿宋_GB2312"/>
          <w:color w:val="auto"/>
          <w:sz w:val="32"/>
          <w:szCs w:val="32"/>
          <w:lang w:val="en-US" w:eastAsia="zh-CN"/>
        </w:rPr>
        <w:t>严格落实国家工作人员学法用法制度，带头尊法学法守法用法，为科级以上干部订购新版《卫生健康常用法律法规汇编》并带头学习，以自身示范带动系统干部法治素养提升。</w:t>
      </w:r>
    </w:p>
    <w:p w14:paraId="730D5FB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2.压实普法责任。</w:t>
      </w:r>
      <w:r>
        <w:rPr>
          <w:rFonts w:hint="eastAsia" w:ascii="仿宋_GB2312" w:hAnsi="仿宋_GB2312" w:eastAsia="仿宋_GB2312" w:cs="仿宋_GB2312"/>
          <w:color w:val="auto"/>
          <w:sz w:val="32"/>
          <w:szCs w:val="32"/>
          <w:lang w:val="en-US" w:eastAsia="zh-CN"/>
        </w:rPr>
        <w:t>认真审核年度普法计划，督促科室、直属单位落实“谁执法谁普法”责任制，明确科室负责组织开展重要节点普法宣传活动，推动法治宣传进基层、进企业、进医疗机构，营造浓厚法治宣传氛围。</w:t>
      </w:r>
    </w:p>
    <w:p w14:paraId="23C104A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四、2026年度推进法治政府建设的主要安排</w:t>
      </w:r>
    </w:p>
    <w:p w14:paraId="5599B63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（一）筑牢法治思想根基，提升履职能力</w:t>
      </w:r>
    </w:p>
    <w:p w14:paraId="4BBD4E8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一是深入宣传贯彻落实习近平法治思想，将习近平法治思想“十一个坚持”核心要义纳入党组理论学习中心组学习和干部培训必修内容，把法治思维深度融入我市卫生健康“十五五”发展实践，推进法治宣传与法治实践有机融合，不断提升卫健系统干部职工运用法治思维解决问题的能力。二是强化执法能力建设，配齐配强专业法制审核人员，开展针对性业务培训和案评质量实操，提升执法人员法律素养、办案效能和服务意识，打造高素质专业化法治队伍。三是提升争议化解质效，健全行政调解机制，严格落实行政负责人出庭应诉制度，尊重并执行法院生效裁判，推动执法行为的规范与改进。</w:t>
      </w:r>
    </w:p>
    <w:p w14:paraId="4D97DA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val="0"/>
          <w:bCs w:val="0"/>
          <w:color w:val="auto"/>
          <w:sz w:val="32"/>
          <w:szCs w:val="32"/>
          <w:lang w:val="en-US" w:eastAsia="zh-CN"/>
        </w:rPr>
        <w:t>（二）深化依法治理实践，提升服务质效</w:t>
      </w:r>
    </w:p>
    <w:p w14:paraId="2E2A5D3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优化柔性执法机制，严格落实我委卫生健康领域行政执法“四张清单”和“首违不罚+公益减罚+轻微速罚”柔性执法制度，转变执法理念，推进柔性执法标准化、规范化。二是推进“法治医院”创建，在全市二级以上医疗机构规范依法决策、医疗文书审核、知情同意等制度，开展医疗机构依法执业培训，从源头防化解医疗纠纷。三是开展法治助企服务，组建专家团队为医疗机构提供免费法律指导，医疗质量、依法执业等隐患排查，及时给予行政建议指导，提前预防法律风险。</w:t>
      </w:r>
    </w:p>
    <w:p w14:paraId="22582BB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（三）优化法治营商环境，激发发展活力</w:t>
      </w:r>
    </w:p>
    <w:p w14:paraId="1953BF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一是创新精准监管模式，推行信用风险分类差异化监管，实现“无事不扰”与“利剑高悬”有机结合，开展涉企执法经济影响评估，优化信用修复流程，推进多部门联合监管，最大限度减少对企业经营的影响。二是提升政务服务效能，聚焦高频事项优化审批流程，推广告知承诺制、容缺受理，推动政务服务提质提速。三是构建全民普法格局，创新“线上+线下”普法形式，提升普法针对性的实效性，以高水平法治政府建设护航黄石卫健事业高质量发展。</w:t>
      </w:r>
    </w:p>
    <w:p w14:paraId="61331160">
      <w:pPr>
        <w:ind w:firstLine="640" w:firstLineChars="200"/>
        <w:rPr>
          <w:rFonts w:hint="eastAsia" w:ascii="仿宋_GB2312" w:hAnsi="仿宋_GB2312" w:eastAsia="仿宋_GB2312" w:cs="仿宋_GB2312"/>
          <w:color w:val="auto"/>
          <w:sz w:val="32"/>
          <w:szCs w:val="32"/>
          <w:lang w:val="en-US" w:eastAsia="zh-CN"/>
        </w:rPr>
      </w:pPr>
    </w:p>
    <w:p w14:paraId="4A0B5D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s="仿宋"/>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A24C3DB5-AF26-4D71-BA2D-DFDC879EB2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877B1FB-E3F6-4D8B-AD74-02488BCC74A8}"/>
  </w:font>
  <w:font w:name="仿宋_GB2312">
    <w:panose1 w:val="02010609030101010101"/>
    <w:charset w:val="86"/>
    <w:family w:val="auto"/>
    <w:pitch w:val="default"/>
    <w:sig w:usb0="00000001" w:usb1="080E0000" w:usb2="00000000" w:usb3="00000000" w:csb0="00040000" w:csb1="00000000"/>
    <w:embedRegular r:id="rId3" w:fontKey="{14C2661C-CD7B-4D23-9544-A153ED78CD29}"/>
  </w:font>
  <w:font w:name="楷体_GB2312">
    <w:panose1 w:val="02010609030101010101"/>
    <w:charset w:val="86"/>
    <w:family w:val="auto"/>
    <w:pitch w:val="default"/>
    <w:sig w:usb0="00000001" w:usb1="080E0000" w:usb2="00000000" w:usb3="00000000" w:csb0="00040000" w:csb1="00000000"/>
    <w:embedRegular r:id="rId4" w:fontKey="{2BC46609-304D-4965-9051-294732D68980}"/>
  </w:font>
  <w:font w:name="仿宋">
    <w:panose1 w:val="02010609060101010101"/>
    <w:charset w:val="86"/>
    <w:family w:val="modern"/>
    <w:pitch w:val="default"/>
    <w:sig w:usb0="800002BF" w:usb1="38CF7CFA" w:usb2="00000016" w:usb3="00000000" w:csb0="00040001" w:csb1="00000000"/>
    <w:embedRegular r:id="rId5" w:fontKey="{B29245AF-5D5B-4F1F-8427-E514983FC9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FB93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E6FB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3E6FBE">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2074D"/>
    <w:rsid w:val="001800D7"/>
    <w:rsid w:val="001A4716"/>
    <w:rsid w:val="00D70859"/>
    <w:rsid w:val="01233A9E"/>
    <w:rsid w:val="012F41F1"/>
    <w:rsid w:val="01347A59"/>
    <w:rsid w:val="026B74AB"/>
    <w:rsid w:val="02BF77F6"/>
    <w:rsid w:val="0332621A"/>
    <w:rsid w:val="040F3E66"/>
    <w:rsid w:val="058645FB"/>
    <w:rsid w:val="058A40EC"/>
    <w:rsid w:val="05E01F5E"/>
    <w:rsid w:val="06137031"/>
    <w:rsid w:val="06173B6C"/>
    <w:rsid w:val="0667442D"/>
    <w:rsid w:val="07527B04"/>
    <w:rsid w:val="0764271A"/>
    <w:rsid w:val="077100D6"/>
    <w:rsid w:val="079F3080"/>
    <w:rsid w:val="07C95D82"/>
    <w:rsid w:val="07EB0E6D"/>
    <w:rsid w:val="088A61B1"/>
    <w:rsid w:val="091A5787"/>
    <w:rsid w:val="095073FA"/>
    <w:rsid w:val="0A1641A0"/>
    <w:rsid w:val="0A751EA9"/>
    <w:rsid w:val="0AD239FF"/>
    <w:rsid w:val="0B1B7594"/>
    <w:rsid w:val="0B8D2240"/>
    <w:rsid w:val="0BD95485"/>
    <w:rsid w:val="0BEB340A"/>
    <w:rsid w:val="0D0F4ED6"/>
    <w:rsid w:val="0D2B7F62"/>
    <w:rsid w:val="0D5D6D76"/>
    <w:rsid w:val="0E6B6D67"/>
    <w:rsid w:val="0ED3635E"/>
    <w:rsid w:val="0F307AB2"/>
    <w:rsid w:val="0F8676D2"/>
    <w:rsid w:val="0FF6D2A5"/>
    <w:rsid w:val="102C3500"/>
    <w:rsid w:val="10784DD8"/>
    <w:rsid w:val="10B33B29"/>
    <w:rsid w:val="11154198"/>
    <w:rsid w:val="113633A4"/>
    <w:rsid w:val="11477335"/>
    <w:rsid w:val="116577BB"/>
    <w:rsid w:val="11996D59"/>
    <w:rsid w:val="11F868D3"/>
    <w:rsid w:val="123613EF"/>
    <w:rsid w:val="126161D4"/>
    <w:rsid w:val="12AC03C8"/>
    <w:rsid w:val="13E9022F"/>
    <w:rsid w:val="147F4523"/>
    <w:rsid w:val="158D0E46"/>
    <w:rsid w:val="163F682C"/>
    <w:rsid w:val="16B0772A"/>
    <w:rsid w:val="16D1011E"/>
    <w:rsid w:val="173254C8"/>
    <w:rsid w:val="18172DFE"/>
    <w:rsid w:val="18463EA2"/>
    <w:rsid w:val="18A61B22"/>
    <w:rsid w:val="18C80D5B"/>
    <w:rsid w:val="19197809"/>
    <w:rsid w:val="19E31FE7"/>
    <w:rsid w:val="1ADF05DE"/>
    <w:rsid w:val="1AF00E72"/>
    <w:rsid w:val="1B031FF8"/>
    <w:rsid w:val="1B5B3363"/>
    <w:rsid w:val="1B906A4F"/>
    <w:rsid w:val="1C0F655E"/>
    <w:rsid w:val="1C576E7A"/>
    <w:rsid w:val="1CEB6DC6"/>
    <w:rsid w:val="1CF8042A"/>
    <w:rsid w:val="1D2E13A9"/>
    <w:rsid w:val="1DBE272D"/>
    <w:rsid w:val="1E766E25"/>
    <w:rsid w:val="1EB500A0"/>
    <w:rsid w:val="1F533349"/>
    <w:rsid w:val="20452C91"/>
    <w:rsid w:val="21C36564"/>
    <w:rsid w:val="21DE7B10"/>
    <w:rsid w:val="222A65E3"/>
    <w:rsid w:val="2298179E"/>
    <w:rsid w:val="22E42C35"/>
    <w:rsid w:val="23103A2A"/>
    <w:rsid w:val="23130E25"/>
    <w:rsid w:val="234436D4"/>
    <w:rsid w:val="23713D9D"/>
    <w:rsid w:val="23C27E3A"/>
    <w:rsid w:val="242D23BA"/>
    <w:rsid w:val="254A1223"/>
    <w:rsid w:val="2604714B"/>
    <w:rsid w:val="262B2929"/>
    <w:rsid w:val="26991B1E"/>
    <w:rsid w:val="27ED1BDC"/>
    <w:rsid w:val="28757E05"/>
    <w:rsid w:val="28A10C81"/>
    <w:rsid w:val="28EF5E90"/>
    <w:rsid w:val="295013A3"/>
    <w:rsid w:val="29EB48A9"/>
    <w:rsid w:val="2A2C4D44"/>
    <w:rsid w:val="2A904F90"/>
    <w:rsid w:val="2ACA48B3"/>
    <w:rsid w:val="2ADB491E"/>
    <w:rsid w:val="2AFE685E"/>
    <w:rsid w:val="2B51698E"/>
    <w:rsid w:val="2B8D373E"/>
    <w:rsid w:val="2C11436F"/>
    <w:rsid w:val="2C1520B2"/>
    <w:rsid w:val="2C3C763E"/>
    <w:rsid w:val="2CA90A4C"/>
    <w:rsid w:val="2CAC401E"/>
    <w:rsid w:val="2DB63420"/>
    <w:rsid w:val="2E3A7BAD"/>
    <w:rsid w:val="2E4C2B0F"/>
    <w:rsid w:val="2E5D1AEE"/>
    <w:rsid w:val="2EC9066A"/>
    <w:rsid w:val="2EFB53EC"/>
    <w:rsid w:val="2F5C6707"/>
    <w:rsid w:val="2FEF702B"/>
    <w:rsid w:val="303D1BD7"/>
    <w:rsid w:val="319F5F79"/>
    <w:rsid w:val="32116E77"/>
    <w:rsid w:val="32330A45"/>
    <w:rsid w:val="32685F2C"/>
    <w:rsid w:val="32B902C1"/>
    <w:rsid w:val="32C67D35"/>
    <w:rsid w:val="33355325"/>
    <w:rsid w:val="3463362C"/>
    <w:rsid w:val="35904557"/>
    <w:rsid w:val="35EF74CF"/>
    <w:rsid w:val="369B56B6"/>
    <w:rsid w:val="36AA5AEC"/>
    <w:rsid w:val="36F54FB9"/>
    <w:rsid w:val="37282F06"/>
    <w:rsid w:val="375F68D7"/>
    <w:rsid w:val="37960BD3"/>
    <w:rsid w:val="382673F4"/>
    <w:rsid w:val="384004B6"/>
    <w:rsid w:val="388A594F"/>
    <w:rsid w:val="393A16DC"/>
    <w:rsid w:val="39FC2AD2"/>
    <w:rsid w:val="3A451DB4"/>
    <w:rsid w:val="3A47E0B5"/>
    <w:rsid w:val="3A802DEC"/>
    <w:rsid w:val="3AE3337B"/>
    <w:rsid w:val="3BF93FF6"/>
    <w:rsid w:val="3C97441D"/>
    <w:rsid w:val="3CD12469"/>
    <w:rsid w:val="3D254A88"/>
    <w:rsid w:val="3D6E1622"/>
    <w:rsid w:val="3D7954C3"/>
    <w:rsid w:val="3D7B27AF"/>
    <w:rsid w:val="3DBF9204"/>
    <w:rsid w:val="3DE1364E"/>
    <w:rsid w:val="3E287A22"/>
    <w:rsid w:val="3E2C42A7"/>
    <w:rsid w:val="3F7D094B"/>
    <w:rsid w:val="3FDFEC43"/>
    <w:rsid w:val="3FE63663"/>
    <w:rsid w:val="40980764"/>
    <w:rsid w:val="410A2D70"/>
    <w:rsid w:val="410B53D9"/>
    <w:rsid w:val="41F83BB0"/>
    <w:rsid w:val="41FB507A"/>
    <w:rsid w:val="41FEB252"/>
    <w:rsid w:val="427143B8"/>
    <w:rsid w:val="42C41CE4"/>
    <w:rsid w:val="434C6CBB"/>
    <w:rsid w:val="43525542"/>
    <w:rsid w:val="44022AC4"/>
    <w:rsid w:val="450A60D4"/>
    <w:rsid w:val="453018B3"/>
    <w:rsid w:val="457339DC"/>
    <w:rsid w:val="458D0AB3"/>
    <w:rsid w:val="468E0FBA"/>
    <w:rsid w:val="46AA5D18"/>
    <w:rsid w:val="46BA29F0"/>
    <w:rsid w:val="479C6D8B"/>
    <w:rsid w:val="47F555ED"/>
    <w:rsid w:val="48C422F9"/>
    <w:rsid w:val="48F84495"/>
    <w:rsid w:val="497D0CA1"/>
    <w:rsid w:val="49E14F29"/>
    <w:rsid w:val="49FB620A"/>
    <w:rsid w:val="4B096D76"/>
    <w:rsid w:val="4B5D2CD5"/>
    <w:rsid w:val="4BFF50B3"/>
    <w:rsid w:val="4BFF647A"/>
    <w:rsid w:val="4C531880"/>
    <w:rsid w:val="4D8B58D8"/>
    <w:rsid w:val="4DB52955"/>
    <w:rsid w:val="4DE633AF"/>
    <w:rsid w:val="4E19102F"/>
    <w:rsid w:val="4E7A31CF"/>
    <w:rsid w:val="4F8B7E11"/>
    <w:rsid w:val="4FF9121F"/>
    <w:rsid w:val="515112C4"/>
    <w:rsid w:val="517A013D"/>
    <w:rsid w:val="52263E21"/>
    <w:rsid w:val="52D970E6"/>
    <w:rsid w:val="5305612D"/>
    <w:rsid w:val="530E2771"/>
    <w:rsid w:val="5333579C"/>
    <w:rsid w:val="53A72D40"/>
    <w:rsid w:val="544D1B39"/>
    <w:rsid w:val="54734443"/>
    <w:rsid w:val="54D27137"/>
    <w:rsid w:val="54DD0514"/>
    <w:rsid w:val="55452810"/>
    <w:rsid w:val="56466840"/>
    <w:rsid w:val="56586573"/>
    <w:rsid w:val="56703B83"/>
    <w:rsid w:val="56CF2CD9"/>
    <w:rsid w:val="56D34FF1"/>
    <w:rsid w:val="57471324"/>
    <w:rsid w:val="577049F1"/>
    <w:rsid w:val="57BB40E2"/>
    <w:rsid w:val="5822508B"/>
    <w:rsid w:val="58F00CE5"/>
    <w:rsid w:val="592870F7"/>
    <w:rsid w:val="594F1EAF"/>
    <w:rsid w:val="5977F37C"/>
    <w:rsid w:val="597D140A"/>
    <w:rsid w:val="59A23790"/>
    <w:rsid w:val="5A4C2B35"/>
    <w:rsid w:val="5A8606A7"/>
    <w:rsid w:val="5B1C04B7"/>
    <w:rsid w:val="5C89392A"/>
    <w:rsid w:val="5D101956"/>
    <w:rsid w:val="5D350B78"/>
    <w:rsid w:val="5DF71FF9"/>
    <w:rsid w:val="5E5E2B95"/>
    <w:rsid w:val="5E820631"/>
    <w:rsid w:val="5EAC59D6"/>
    <w:rsid w:val="5EDF3CD6"/>
    <w:rsid w:val="5EEC1F4F"/>
    <w:rsid w:val="5F3E5D28"/>
    <w:rsid w:val="5F9BCB69"/>
    <w:rsid w:val="5FDC1BB6"/>
    <w:rsid w:val="5FFB6C8A"/>
    <w:rsid w:val="5FFD5B41"/>
    <w:rsid w:val="5FFF894B"/>
    <w:rsid w:val="60791ED7"/>
    <w:rsid w:val="60A76A75"/>
    <w:rsid w:val="615C160D"/>
    <w:rsid w:val="617B7DD9"/>
    <w:rsid w:val="620F042E"/>
    <w:rsid w:val="6362074D"/>
    <w:rsid w:val="63826CD2"/>
    <w:rsid w:val="63860BC4"/>
    <w:rsid w:val="63D77671"/>
    <w:rsid w:val="64175CC0"/>
    <w:rsid w:val="64412D3D"/>
    <w:rsid w:val="64BB432C"/>
    <w:rsid w:val="653F7725"/>
    <w:rsid w:val="65976B33"/>
    <w:rsid w:val="65DE4CE7"/>
    <w:rsid w:val="66320795"/>
    <w:rsid w:val="66F23B83"/>
    <w:rsid w:val="672D2639"/>
    <w:rsid w:val="678E44EB"/>
    <w:rsid w:val="67F56318"/>
    <w:rsid w:val="67FA56DC"/>
    <w:rsid w:val="68237923"/>
    <w:rsid w:val="694B42EA"/>
    <w:rsid w:val="6AD55F8D"/>
    <w:rsid w:val="6B18526F"/>
    <w:rsid w:val="6B76151E"/>
    <w:rsid w:val="6BAF4A30"/>
    <w:rsid w:val="6D723F67"/>
    <w:rsid w:val="6E1EB0CD"/>
    <w:rsid w:val="6E20042B"/>
    <w:rsid w:val="6E3878FF"/>
    <w:rsid w:val="6F457B85"/>
    <w:rsid w:val="6F571666"/>
    <w:rsid w:val="6FEFBBE2"/>
    <w:rsid w:val="7053007F"/>
    <w:rsid w:val="70545BA6"/>
    <w:rsid w:val="70F51137"/>
    <w:rsid w:val="7141437C"/>
    <w:rsid w:val="71FBA5C8"/>
    <w:rsid w:val="72646574"/>
    <w:rsid w:val="72802C82"/>
    <w:rsid w:val="72CC236B"/>
    <w:rsid w:val="73BE1CB4"/>
    <w:rsid w:val="73BEF977"/>
    <w:rsid w:val="749649DF"/>
    <w:rsid w:val="74982505"/>
    <w:rsid w:val="74B30BB1"/>
    <w:rsid w:val="74F04A56"/>
    <w:rsid w:val="74FA4B00"/>
    <w:rsid w:val="769D3E02"/>
    <w:rsid w:val="7752420A"/>
    <w:rsid w:val="779416A9"/>
    <w:rsid w:val="77CB3F74"/>
    <w:rsid w:val="77E12415"/>
    <w:rsid w:val="77E65C7D"/>
    <w:rsid w:val="783E306D"/>
    <w:rsid w:val="78646412"/>
    <w:rsid w:val="78E8332F"/>
    <w:rsid w:val="79A11E5C"/>
    <w:rsid w:val="7A635363"/>
    <w:rsid w:val="7AA598AF"/>
    <w:rsid w:val="7AD4000F"/>
    <w:rsid w:val="7B3FF3DB"/>
    <w:rsid w:val="7BBF7B04"/>
    <w:rsid w:val="7BEE6EAE"/>
    <w:rsid w:val="7BEF3188"/>
    <w:rsid w:val="7C9712F4"/>
    <w:rsid w:val="7CB61DF8"/>
    <w:rsid w:val="7CBD8400"/>
    <w:rsid w:val="7EC319F0"/>
    <w:rsid w:val="7EEFE574"/>
    <w:rsid w:val="7F1B448E"/>
    <w:rsid w:val="7F6C2503"/>
    <w:rsid w:val="AB9D657E"/>
    <w:rsid w:val="ADFD9E6A"/>
    <w:rsid w:val="BAF85A5A"/>
    <w:rsid w:val="BC7634F3"/>
    <w:rsid w:val="BEB5A4F4"/>
    <w:rsid w:val="BF5F2D34"/>
    <w:rsid w:val="DE9EF348"/>
    <w:rsid w:val="ECF7C4A9"/>
    <w:rsid w:val="F37EE40B"/>
    <w:rsid w:val="F4EBB552"/>
    <w:rsid w:val="F5CA9CAD"/>
    <w:rsid w:val="F6DD0EC5"/>
    <w:rsid w:val="F7F3F1C0"/>
    <w:rsid w:val="F93E8002"/>
    <w:rsid w:val="FB6F9C92"/>
    <w:rsid w:val="FBDFEF56"/>
    <w:rsid w:val="FBF3D717"/>
    <w:rsid w:val="FDDF835E"/>
    <w:rsid w:val="FDFE10A8"/>
    <w:rsid w:val="FF2B4F44"/>
    <w:rsid w:val="FF4FECF6"/>
    <w:rsid w:val="FF8F24A4"/>
    <w:rsid w:val="FFDB7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spacing w:before="100" w:beforeLines="0" w:beforeAutospacing="1" w:after="100" w:afterLines="0" w:afterAutospacing="1"/>
      <w:jc w:val="left"/>
      <w:outlineLvl w:val="1"/>
    </w:pPr>
    <w:rPr>
      <w:rFonts w:hint="default" w:ascii="宋体" w:hAnsi="宋体" w:cs="宋体"/>
      <w:b/>
      <w:kern w:val="0"/>
      <w:sz w:val="36"/>
      <w:szCs w:val="36"/>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pPr>
      <w:spacing w:before="3"/>
      <w:ind w:left="120"/>
    </w:pPr>
    <w:rPr>
      <w:rFonts w:ascii="宋体" w:hAnsi="宋体" w:eastAsia="宋体" w:cs="宋体"/>
      <w:sz w:val="32"/>
      <w:szCs w:val="32"/>
      <w:lang w:val="zh-CN" w:bidi="zh-CN"/>
    </w:rPr>
  </w:style>
  <w:style w:type="paragraph" w:styleId="4">
    <w:name w:val="Body Text 2"/>
    <w:basedOn w:val="1"/>
    <w:qFormat/>
    <w:uiPriority w:val="0"/>
    <w:pPr>
      <w:spacing w:after="120" w:line="480" w:lineRule="auto"/>
    </w:pPr>
    <w:rPr>
      <w:rFonts w:ascii="Calibri" w:hAnsi="Calibri" w:eastAsia="宋体" w:cs="Times New Roman"/>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333333"/>
      <w:u w:val="none"/>
    </w:rPr>
  </w:style>
  <w:style w:type="character" w:styleId="13">
    <w:name w:val="Emphasis"/>
    <w:basedOn w:val="10"/>
    <w:qFormat/>
    <w:uiPriority w:val="0"/>
  </w:style>
  <w:style w:type="character" w:styleId="14">
    <w:name w:val="Hyperlink"/>
    <w:basedOn w:val="10"/>
    <w:qFormat/>
    <w:uiPriority w:val="0"/>
    <w:rPr>
      <w:color w:val="333333"/>
      <w:u w:val="none"/>
    </w:rPr>
  </w:style>
  <w:style w:type="paragraph" w:customStyle="1" w:styleId="15">
    <w:name w:val="Body Text First Indent 21"/>
    <w:basedOn w:val="16"/>
    <w:next w:val="1"/>
    <w:qFormat/>
    <w:uiPriority w:val="0"/>
    <w:pPr>
      <w:ind w:firstLine="420" w:firstLineChars="200"/>
    </w:pPr>
  </w:style>
  <w:style w:type="paragraph" w:customStyle="1" w:styleId="16">
    <w:name w:val="Body Text Indent1"/>
    <w:basedOn w:val="1"/>
    <w:next w:val="15"/>
    <w:qFormat/>
    <w:uiPriority w:val="0"/>
    <w:pPr>
      <w:ind w:left="420" w:leftChars="2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4262</Words>
  <Characters>4345</Characters>
  <Lines>0</Lines>
  <Paragraphs>0</Paragraphs>
  <TotalTime>23</TotalTime>
  <ScaleCrop>false</ScaleCrop>
  <LinksUpToDate>false</LinksUpToDate>
  <CharactersWithSpaces>4364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2025-01-27T11:34:00Z</dcterms:created>
  <dc:creator>波波</dc:creator>
  <cp:lastModifiedBy>杨婧妍</cp:lastModifiedBy>
  <cp:lastPrinted>2026-02-28T09:20:00Z</cp:lastPrinted>
  <dcterms:modified xsi:type="dcterms:W3CDTF">2026-08-18T07:15:13Z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EEFFE9F4881D475AAEFC44A1053066D7_13</vt:lpwstr>
  </property>
  <property fmtid="{D5CDD505-2E9C-101B-9397-08002B2CF9AE}" pid="4" name="KSOTemplateDocerSaveRecord">
    <vt:lpwstr>eyJoZGlkIjoiMTg1M2E5MDljMGM0OTBlMGEwYWZiNjk3MzZkYjU2YzMiLCJ1c2VySWQiOiI1NDEyMTMxMDIifQ==</vt:lpwstr>
  </property>
</Properties>
</file>