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BB175">
      <w:pPr>
        <w:jc w:val="left"/>
        <w:rPr>
          <w:rFonts w:hint="eastAsia" w:ascii="方正小标宋简体" w:hAnsi="方正小标宋简体" w:eastAsia="方正小标宋简体" w:cs="方正小标宋简体"/>
          <w:sz w:val="28"/>
          <w:szCs w:val="28"/>
          <w:lang w:val="en-US" w:eastAsia="zh-CN"/>
        </w:rPr>
      </w:pPr>
      <w:bookmarkStart w:id="0" w:name="_GoBack"/>
      <w:bookmarkEnd w:id="0"/>
    </w:p>
    <w:p w14:paraId="648197D1">
      <w:p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36"/>
          <w:szCs w:val="36"/>
          <w:lang w:val="en-US" w:eastAsia="zh-CN"/>
        </w:rPr>
        <w:t>2024年度黄石市卫生健康委本级部门预算公开情况说明</w:t>
      </w:r>
    </w:p>
    <w:p w14:paraId="6C6B0FCA">
      <w:pPr>
        <w:ind w:firstLine="640"/>
        <w:jc w:val="both"/>
        <w:rPr>
          <w:rFonts w:hint="eastAsia" w:ascii="黑体" w:hAnsi="黑体" w:eastAsia="黑体" w:cs="黑体"/>
          <w:sz w:val="32"/>
          <w:szCs w:val="32"/>
          <w:lang w:val="en-US" w:eastAsia="zh-CN"/>
        </w:rPr>
      </w:pPr>
    </w:p>
    <w:p w14:paraId="66DC9550">
      <w:pPr>
        <w:numPr>
          <w:ilvl w:val="0"/>
          <w:numId w:val="0"/>
        </w:numPr>
        <w:ind w:firstLine="640" w:firstLineChars="200"/>
        <w:jc w:val="both"/>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目录</w:t>
      </w:r>
    </w:p>
    <w:p w14:paraId="7F792B70">
      <w:pPr>
        <w:numPr>
          <w:ilvl w:val="0"/>
          <w:numId w:val="0"/>
        </w:numPr>
        <w:ind w:firstLine="640" w:firstLineChars="200"/>
        <w:jc w:val="both"/>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一、部门（单位）主要职责</w:t>
      </w:r>
    </w:p>
    <w:p w14:paraId="078C683B">
      <w:pPr>
        <w:numPr>
          <w:ilvl w:val="0"/>
          <w:numId w:val="0"/>
        </w:numPr>
        <w:ind w:firstLine="640" w:firstLineChars="200"/>
        <w:jc w:val="both"/>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二、</w:t>
      </w:r>
      <w:r>
        <w:rPr>
          <w:rFonts w:hint="eastAsia" w:ascii="黑体" w:hAnsi="黑体" w:eastAsia="黑体" w:cs="黑体"/>
          <w:b w:val="0"/>
          <w:bCs w:val="0"/>
          <w:sz w:val="32"/>
          <w:szCs w:val="32"/>
          <w:lang w:val="en-US" w:eastAsia="zh-CN"/>
        </w:rPr>
        <w:t>机构设置情况</w:t>
      </w:r>
    </w:p>
    <w:p w14:paraId="71A6E7A2">
      <w:pPr>
        <w:numPr>
          <w:ilvl w:val="0"/>
          <w:numId w:val="0"/>
        </w:numPr>
        <w:ind w:firstLine="640" w:firstLineChars="200"/>
        <w:jc w:val="both"/>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三、预算收支安排及增减变化情况</w:t>
      </w:r>
    </w:p>
    <w:p w14:paraId="09AB4A2A">
      <w:pPr>
        <w:numPr>
          <w:ilvl w:val="0"/>
          <w:numId w:val="0"/>
        </w:numPr>
        <w:ind w:firstLine="640" w:firstLineChars="200"/>
        <w:jc w:val="both"/>
        <w:rPr>
          <w:rFonts w:hint="eastAsia" w:ascii="仿宋_GB2312" w:hAnsi="宋体" w:eastAsia="仿宋_GB2312"/>
          <w:b w:val="0"/>
          <w:bCs w:val="0"/>
          <w:sz w:val="32"/>
          <w:szCs w:val="32"/>
          <w:highlight w:val="none"/>
          <w:lang w:val="en-US" w:eastAsia="zh-CN"/>
        </w:rPr>
      </w:pPr>
      <w:r>
        <w:rPr>
          <w:rFonts w:hint="eastAsia" w:ascii="黑体" w:hAnsi="黑体" w:eastAsia="黑体" w:cs="黑体"/>
          <w:b w:val="0"/>
          <w:bCs w:val="0"/>
          <w:sz w:val="32"/>
          <w:szCs w:val="32"/>
          <w:u w:val="none"/>
          <w:lang w:val="en-US" w:eastAsia="zh-CN"/>
        </w:rPr>
        <w:t>四、机关运行经费安排情况说明</w:t>
      </w:r>
    </w:p>
    <w:p w14:paraId="1C7652D7">
      <w:pPr>
        <w:numPr>
          <w:ilvl w:val="0"/>
          <w:numId w:val="0"/>
        </w:numPr>
        <w:ind w:firstLine="640" w:firstLineChars="200"/>
        <w:jc w:val="both"/>
        <w:rPr>
          <w:rFonts w:hint="eastAsia" w:ascii="仿宋_GB2312" w:hAnsi="宋体" w:eastAsia="仿宋_GB2312"/>
          <w:b w:val="0"/>
          <w:bCs w:val="0"/>
          <w:sz w:val="32"/>
          <w:szCs w:val="32"/>
          <w:highlight w:val="none"/>
          <w:lang w:val="en-US" w:eastAsia="zh-CN"/>
        </w:rPr>
      </w:pPr>
      <w:r>
        <w:rPr>
          <w:rFonts w:hint="eastAsia" w:ascii="黑体" w:hAnsi="黑体" w:eastAsia="黑体" w:cs="黑体"/>
          <w:b w:val="0"/>
          <w:bCs w:val="0"/>
          <w:sz w:val="32"/>
          <w:szCs w:val="32"/>
          <w:u w:val="none"/>
          <w:lang w:val="en-US" w:eastAsia="zh-CN"/>
        </w:rPr>
        <w:t>五、一般公共预算“三公”经费支出情况说明</w:t>
      </w:r>
    </w:p>
    <w:p w14:paraId="659570FC">
      <w:pPr>
        <w:numPr>
          <w:ilvl w:val="0"/>
          <w:numId w:val="0"/>
        </w:numPr>
        <w:ind w:firstLine="640" w:firstLineChars="200"/>
        <w:jc w:val="both"/>
        <w:rPr>
          <w:rFonts w:hint="eastAsia" w:ascii="仿宋_GB2312" w:hAnsi="宋体" w:eastAsia="仿宋_GB2312"/>
          <w:b w:val="0"/>
          <w:bCs w:val="0"/>
          <w:sz w:val="32"/>
          <w:szCs w:val="32"/>
          <w:highlight w:val="none"/>
          <w:lang w:val="en-US" w:eastAsia="zh-CN"/>
        </w:rPr>
      </w:pPr>
      <w:r>
        <w:rPr>
          <w:rFonts w:hint="eastAsia" w:ascii="黑体" w:hAnsi="黑体" w:eastAsia="黑体" w:cs="黑体"/>
          <w:b w:val="0"/>
          <w:bCs w:val="0"/>
          <w:sz w:val="32"/>
          <w:szCs w:val="32"/>
          <w:u w:val="none"/>
          <w:lang w:val="en-US" w:eastAsia="zh-CN"/>
        </w:rPr>
        <w:t>六、</w:t>
      </w:r>
      <w:r>
        <w:rPr>
          <w:rFonts w:hint="default" w:ascii="黑体" w:hAnsi="黑体" w:eastAsia="黑体" w:cs="黑体"/>
          <w:b w:val="0"/>
          <w:bCs w:val="0"/>
          <w:sz w:val="32"/>
          <w:szCs w:val="32"/>
          <w:u w:val="none"/>
          <w:lang w:val="en-US" w:eastAsia="zh-CN"/>
        </w:rPr>
        <w:t>政府采购</w:t>
      </w:r>
      <w:r>
        <w:rPr>
          <w:rFonts w:hint="eastAsia" w:ascii="黑体" w:hAnsi="黑体" w:eastAsia="黑体" w:cs="黑体"/>
          <w:b w:val="0"/>
          <w:bCs w:val="0"/>
          <w:sz w:val="32"/>
          <w:szCs w:val="32"/>
          <w:u w:val="none"/>
          <w:lang w:val="en-US" w:eastAsia="zh-CN"/>
        </w:rPr>
        <w:t>安排情况</w:t>
      </w:r>
      <w:r>
        <w:rPr>
          <w:rFonts w:hint="default" w:ascii="黑体" w:hAnsi="黑体" w:eastAsia="黑体" w:cs="黑体"/>
          <w:b w:val="0"/>
          <w:bCs w:val="0"/>
          <w:sz w:val="32"/>
          <w:szCs w:val="32"/>
          <w:u w:val="none"/>
          <w:lang w:val="en-US" w:eastAsia="zh-CN"/>
        </w:rPr>
        <w:t>说明</w:t>
      </w:r>
    </w:p>
    <w:p w14:paraId="7259C41B">
      <w:pPr>
        <w:numPr>
          <w:ilvl w:val="0"/>
          <w:numId w:val="0"/>
        </w:numPr>
        <w:ind w:firstLine="640" w:firstLineChars="200"/>
        <w:jc w:val="both"/>
        <w:rPr>
          <w:rFonts w:hint="eastAsia" w:ascii="仿宋_GB2312" w:hAnsi="宋体" w:eastAsia="仿宋_GB2312"/>
          <w:b w:val="0"/>
          <w:bCs w:val="0"/>
          <w:sz w:val="32"/>
          <w:szCs w:val="32"/>
          <w:highlight w:val="none"/>
          <w:lang w:val="en-US" w:eastAsia="zh-CN"/>
        </w:rPr>
      </w:pPr>
      <w:r>
        <w:rPr>
          <w:rFonts w:hint="eastAsia" w:ascii="黑体" w:hAnsi="黑体" w:eastAsia="黑体" w:cs="黑体"/>
          <w:b w:val="0"/>
          <w:bCs w:val="0"/>
          <w:sz w:val="32"/>
          <w:szCs w:val="32"/>
          <w:u w:val="none"/>
          <w:lang w:val="en-US" w:eastAsia="zh-CN"/>
        </w:rPr>
        <w:t>七、</w:t>
      </w:r>
      <w:r>
        <w:rPr>
          <w:rFonts w:hint="default" w:ascii="黑体" w:hAnsi="黑体" w:eastAsia="黑体" w:cs="黑体"/>
          <w:b w:val="0"/>
          <w:bCs w:val="0"/>
          <w:sz w:val="32"/>
          <w:szCs w:val="32"/>
          <w:u w:val="none"/>
          <w:lang w:val="en-US" w:eastAsia="zh-CN"/>
        </w:rPr>
        <w:t>国有资产占用情况</w:t>
      </w:r>
      <w:r>
        <w:rPr>
          <w:rFonts w:hint="eastAsia" w:ascii="黑体" w:hAnsi="黑体" w:eastAsia="黑体" w:cs="黑体"/>
          <w:b w:val="0"/>
          <w:bCs w:val="0"/>
          <w:sz w:val="32"/>
          <w:szCs w:val="32"/>
          <w:u w:val="none"/>
          <w:lang w:val="en-US" w:eastAsia="zh-CN"/>
        </w:rPr>
        <w:t>说明</w:t>
      </w:r>
    </w:p>
    <w:p w14:paraId="5A93DB35">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八、重点项目预算绩效情况说明</w:t>
      </w:r>
    </w:p>
    <w:p w14:paraId="18F1CF7B">
      <w:pPr>
        <w:numPr>
          <w:ilvl w:val="0"/>
          <w:numId w:val="0"/>
        </w:numPr>
        <w:ind w:firstLine="640" w:firstLineChars="200"/>
        <w:jc w:val="both"/>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九、其他需要说明的情况</w:t>
      </w:r>
    </w:p>
    <w:p w14:paraId="4A3591B0">
      <w:pPr>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u w:val="none"/>
          <w:lang w:val="en-US" w:eastAsia="zh-CN"/>
        </w:rPr>
        <w:t>十、专业名词解释</w:t>
      </w:r>
    </w:p>
    <w:p w14:paraId="31E85F7F">
      <w:pPr>
        <w:numPr>
          <w:ilvl w:val="0"/>
          <w:numId w:val="0"/>
        </w:numPr>
        <w:ind w:firstLine="640" w:firstLineChars="200"/>
        <w:jc w:val="both"/>
        <w:rPr>
          <w:rFonts w:hint="eastAsia" w:ascii="仿宋_GB2312" w:hAnsi="宋体" w:eastAsia="仿宋_GB2312"/>
          <w:b w:val="0"/>
          <w:bCs w:val="0"/>
          <w:sz w:val="32"/>
          <w:szCs w:val="32"/>
          <w:highlight w:val="none"/>
          <w:lang w:val="en-US" w:eastAsia="zh-CN"/>
        </w:rPr>
      </w:pPr>
      <w:r>
        <w:rPr>
          <w:rFonts w:hint="eastAsia" w:ascii="黑体" w:hAnsi="黑体" w:eastAsia="黑体" w:cs="黑体"/>
          <w:b w:val="0"/>
          <w:bCs w:val="0"/>
          <w:sz w:val="32"/>
          <w:szCs w:val="32"/>
          <w:u w:val="none"/>
          <w:lang w:val="en-US" w:eastAsia="zh-CN"/>
        </w:rPr>
        <w:t>十一、20XX部门预算表</w:t>
      </w:r>
    </w:p>
    <w:p w14:paraId="758059DD">
      <w:pPr>
        <w:numPr>
          <w:ilvl w:val="0"/>
          <w:numId w:val="0"/>
        </w:numPr>
        <w:ind w:firstLine="640" w:firstLineChars="200"/>
        <w:jc w:val="both"/>
        <w:rPr>
          <w:rFonts w:hint="eastAsia" w:ascii="仿宋_GB2312" w:hAnsi="宋体" w:eastAsia="仿宋_GB2312"/>
          <w:b w:val="0"/>
          <w:bCs w:val="0"/>
          <w:sz w:val="32"/>
          <w:szCs w:val="32"/>
          <w:highlight w:val="none"/>
          <w:lang w:val="en-US" w:eastAsia="zh-CN"/>
        </w:rPr>
      </w:pPr>
      <w:r>
        <w:rPr>
          <w:rFonts w:hint="eastAsia" w:ascii="黑体" w:hAnsi="黑体" w:eastAsia="黑体" w:cs="黑体"/>
          <w:b w:val="0"/>
          <w:bCs w:val="0"/>
          <w:sz w:val="32"/>
          <w:szCs w:val="32"/>
          <w:u w:val="none"/>
          <w:lang w:val="en-US" w:eastAsia="zh-CN"/>
        </w:rPr>
        <w:t>十二、20XX年项目支出绩效目标批复表</w:t>
      </w:r>
    </w:p>
    <w:p w14:paraId="731451E7">
      <w:pPr>
        <w:adjustRightInd w:val="0"/>
        <w:snapToGrid w:val="0"/>
        <w:spacing w:line="580" w:lineRule="atLeast"/>
        <w:ind w:firstLine="643" w:firstLineChars="200"/>
        <w:rPr>
          <w:rFonts w:hint="eastAsia" w:ascii="黑体" w:hAnsi="黑体" w:eastAsia="黑体" w:cs="黑体"/>
          <w:b/>
          <w:bCs/>
          <w:sz w:val="32"/>
          <w:szCs w:val="32"/>
          <w:u w:val="none"/>
          <w:lang w:val="en-US" w:eastAsia="zh-CN"/>
        </w:rPr>
      </w:pPr>
    </w:p>
    <w:p w14:paraId="2144AA8C">
      <w:pPr>
        <w:adjustRightInd w:val="0"/>
        <w:snapToGrid w:val="0"/>
        <w:spacing w:line="580" w:lineRule="atLeast"/>
        <w:ind w:firstLine="643" w:firstLineChars="200"/>
        <w:rPr>
          <w:rFonts w:hint="eastAsia" w:ascii="黑体" w:hAnsi="黑体" w:eastAsia="黑体" w:cs="黑体"/>
          <w:b/>
          <w:bCs/>
          <w:sz w:val="32"/>
          <w:szCs w:val="32"/>
          <w:u w:val="none"/>
          <w:lang w:val="en-US" w:eastAsia="zh-CN"/>
        </w:rPr>
      </w:pPr>
    </w:p>
    <w:p w14:paraId="3D63DE28">
      <w:pPr>
        <w:adjustRightInd w:val="0"/>
        <w:snapToGrid w:val="0"/>
        <w:spacing w:line="580" w:lineRule="atLeast"/>
        <w:ind w:firstLine="643" w:firstLineChars="200"/>
        <w:rPr>
          <w:rFonts w:hint="eastAsia" w:ascii="黑体" w:hAnsi="黑体" w:eastAsia="黑体" w:cs="黑体"/>
          <w:b/>
          <w:bCs/>
          <w:sz w:val="32"/>
          <w:szCs w:val="32"/>
          <w:u w:val="none"/>
          <w:lang w:val="en-US" w:eastAsia="zh-CN"/>
        </w:rPr>
      </w:pPr>
    </w:p>
    <w:p w14:paraId="4414C7FE">
      <w:pPr>
        <w:adjustRightInd w:val="0"/>
        <w:snapToGrid w:val="0"/>
        <w:spacing w:line="580" w:lineRule="atLeast"/>
        <w:ind w:firstLine="643" w:firstLineChars="200"/>
        <w:rPr>
          <w:rFonts w:hint="eastAsia" w:ascii="黑体" w:hAnsi="黑体" w:eastAsia="黑体" w:cs="黑体"/>
          <w:b/>
          <w:bCs/>
          <w:sz w:val="32"/>
          <w:szCs w:val="32"/>
          <w:u w:val="none"/>
          <w:lang w:val="en-US" w:eastAsia="zh-CN"/>
        </w:rPr>
      </w:pPr>
    </w:p>
    <w:p w14:paraId="30D08EF0">
      <w:pPr>
        <w:adjustRightInd w:val="0"/>
        <w:snapToGrid w:val="0"/>
        <w:spacing w:line="580" w:lineRule="atLeast"/>
        <w:ind w:firstLine="643" w:firstLineChars="200"/>
        <w:rPr>
          <w:rFonts w:hint="eastAsia" w:ascii="黑体" w:hAnsi="黑体" w:eastAsia="黑体" w:cs="黑体"/>
          <w:b/>
          <w:bCs/>
          <w:sz w:val="32"/>
          <w:szCs w:val="32"/>
          <w:u w:val="none"/>
          <w:lang w:val="en-US" w:eastAsia="zh-CN"/>
        </w:rPr>
      </w:pPr>
    </w:p>
    <w:p w14:paraId="530A77A5">
      <w:pPr>
        <w:adjustRightInd w:val="0"/>
        <w:snapToGrid w:val="0"/>
        <w:spacing w:line="580" w:lineRule="atLeast"/>
        <w:ind w:firstLine="643" w:firstLineChars="200"/>
        <w:rPr>
          <w:rFonts w:hint="eastAsia" w:ascii="黑体" w:hAnsi="黑体" w:eastAsia="黑体" w:cs="黑体"/>
          <w:b/>
          <w:bCs/>
          <w:sz w:val="32"/>
          <w:szCs w:val="32"/>
          <w:u w:val="none"/>
          <w:lang w:val="en-US" w:eastAsia="zh-CN"/>
        </w:rPr>
      </w:pPr>
    </w:p>
    <w:p w14:paraId="6AF33E80">
      <w:pPr>
        <w:adjustRightInd w:val="0"/>
        <w:snapToGrid w:val="0"/>
        <w:spacing w:line="580" w:lineRule="atLeast"/>
        <w:ind w:firstLine="643" w:firstLineChars="200"/>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第一部分  部门（单位）主要职责</w:t>
      </w:r>
    </w:p>
    <w:p w14:paraId="06BDF9D1">
      <w:pPr>
        <w:adjustRightInd w:val="0"/>
        <w:snapToGrid w:val="0"/>
        <w:spacing w:line="580" w:lineRule="atLeast"/>
        <w:ind w:firstLine="640" w:firstLineChars="200"/>
        <w:rPr>
          <w:rFonts w:hint="eastAsia" w:ascii="仿宋_GB2312" w:hAnsi="宋体" w:eastAsia="仿宋_GB2312"/>
          <w:bCs/>
          <w:sz w:val="32"/>
          <w:szCs w:val="32"/>
          <w:highlight w:val="none"/>
          <w:lang w:val="en-US" w:eastAsia="zh-CN"/>
        </w:rPr>
      </w:pPr>
      <w:r>
        <w:rPr>
          <w:rFonts w:hint="eastAsia" w:ascii="仿宋_GB2312" w:hAnsi="Microsoft JhengHei Light" w:eastAsia="仿宋_GB2312" w:cs="仿宋_GB2312"/>
          <w:sz w:val="32"/>
          <w:szCs w:val="32"/>
          <w:lang w:eastAsia="zh-CN"/>
        </w:rPr>
        <w:t>2019年机构改革中，将市卫生和计划生育委员会（市深化医药卫生体制改革领导小组办公室）的职责、市民政局的老龄工作职责、市安全生产监督管理局的职业安全健康监督管理职责、市城乡建设委员会的爱国卫生运动职责进行整合，成立市卫健委，作为市政府工作部门开展工作。目前主要职责包括健康黄石建设、医药卫生体制改革、疾病预防控制和卫生应急、老年健康和医养结合、基本药物制度、卫生健康综合监督、医政管理、基层卫生、妇幼健康、干部保健、中医药发展、人口监测与家庭发展等12个方面。单位执行政府会计制度，现有编制47名，在编</w:t>
      </w:r>
      <w:r>
        <w:rPr>
          <w:rFonts w:hint="eastAsia" w:ascii="仿宋_GB2312" w:hAnsi="Microsoft JhengHei Light" w:eastAsia="仿宋_GB2312" w:cs="仿宋_GB2312"/>
          <w:sz w:val="32"/>
          <w:szCs w:val="32"/>
          <w:lang w:val="en-US" w:eastAsia="zh-CN"/>
        </w:rPr>
        <w:t>38</w:t>
      </w:r>
      <w:r>
        <w:rPr>
          <w:rFonts w:hint="eastAsia" w:ascii="仿宋_GB2312" w:hAnsi="Microsoft JhengHei Light" w:eastAsia="仿宋_GB2312" w:cs="仿宋_GB2312"/>
          <w:sz w:val="32"/>
          <w:szCs w:val="32"/>
          <w:lang w:eastAsia="zh-CN"/>
        </w:rPr>
        <w:t>人，离休</w:t>
      </w:r>
      <w:r>
        <w:rPr>
          <w:rFonts w:hint="eastAsia" w:ascii="仿宋_GB2312" w:hAnsi="Microsoft JhengHei Light" w:eastAsia="仿宋_GB2312" w:cs="仿宋_GB2312"/>
          <w:sz w:val="32"/>
          <w:szCs w:val="32"/>
          <w:lang w:val="en-US" w:eastAsia="zh-CN"/>
        </w:rPr>
        <w:t>1</w:t>
      </w:r>
      <w:r>
        <w:rPr>
          <w:rFonts w:hint="eastAsia" w:ascii="仿宋_GB2312" w:hAnsi="Microsoft JhengHei Light" w:eastAsia="仿宋_GB2312" w:cs="仿宋_GB2312"/>
          <w:sz w:val="32"/>
          <w:szCs w:val="32"/>
          <w:lang w:eastAsia="zh-CN"/>
        </w:rPr>
        <w:t>人，退休5</w:t>
      </w:r>
      <w:r>
        <w:rPr>
          <w:rFonts w:hint="eastAsia" w:ascii="仿宋_GB2312" w:hAnsi="Microsoft JhengHei Light" w:eastAsia="仿宋_GB2312" w:cs="仿宋_GB2312"/>
          <w:sz w:val="32"/>
          <w:szCs w:val="32"/>
          <w:lang w:val="en-US" w:eastAsia="zh-CN"/>
        </w:rPr>
        <w:t>8</w:t>
      </w:r>
      <w:r>
        <w:rPr>
          <w:rFonts w:hint="eastAsia" w:ascii="仿宋_GB2312" w:hAnsi="Microsoft JhengHei Light" w:eastAsia="仿宋_GB2312" w:cs="仿宋_GB2312"/>
          <w:sz w:val="32"/>
          <w:szCs w:val="32"/>
          <w:lang w:eastAsia="zh-CN"/>
        </w:rPr>
        <w:t>人，政府雇员</w:t>
      </w:r>
      <w:r>
        <w:rPr>
          <w:rFonts w:hint="eastAsia" w:ascii="仿宋_GB2312" w:hAnsi="Microsoft JhengHei Light" w:eastAsia="仿宋_GB2312" w:cs="仿宋_GB2312"/>
          <w:sz w:val="32"/>
          <w:szCs w:val="32"/>
          <w:lang w:val="en-US" w:eastAsia="zh-CN"/>
        </w:rPr>
        <w:t>2人</w:t>
      </w:r>
      <w:r>
        <w:rPr>
          <w:rFonts w:hint="eastAsia" w:ascii="仿宋" w:hAnsi="仿宋" w:eastAsia="仿宋"/>
          <w:sz w:val="32"/>
          <w:szCs w:val="32"/>
          <w:u w:val="none"/>
        </w:rPr>
        <w:t>。</w:t>
      </w:r>
    </w:p>
    <w:p w14:paraId="6CA25706">
      <w:pPr>
        <w:adjustRightInd w:val="0"/>
        <w:snapToGrid w:val="0"/>
        <w:spacing w:line="580" w:lineRule="atLeast"/>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u w:val="none"/>
          <w:lang w:val="en-US" w:eastAsia="zh-CN"/>
        </w:rPr>
        <w:t xml:space="preserve">第二部分  </w:t>
      </w:r>
      <w:r>
        <w:rPr>
          <w:rFonts w:hint="eastAsia" w:ascii="黑体" w:hAnsi="黑体" w:eastAsia="黑体" w:cs="黑体"/>
          <w:b/>
          <w:bCs/>
          <w:sz w:val="32"/>
          <w:szCs w:val="32"/>
          <w:lang w:val="en-US" w:eastAsia="zh-CN"/>
        </w:rPr>
        <w:t>机构设置情况</w:t>
      </w:r>
    </w:p>
    <w:p w14:paraId="78EEE189">
      <w:pPr>
        <w:ind w:firstLine="640"/>
        <w:jc w:val="both"/>
        <w:rPr>
          <w:rFonts w:hint="default" w:ascii="仿宋_GB2312" w:hAnsi="仿宋_GB2312" w:cs="仿宋_GB2312"/>
          <w:sz w:val="32"/>
          <w:szCs w:val="32"/>
          <w:u w:val="none"/>
          <w:lang w:val="en-US" w:eastAsia="zh-CN"/>
        </w:rPr>
      </w:pPr>
      <w:r>
        <w:rPr>
          <w:rFonts w:hint="eastAsia" w:ascii="仿宋_GB2312" w:hAnsi="仿宋_GB2312" w:cs="仿宋_GB2312"/>
          <w:sz w:val="32"/>
          <w:szCs w:val="32"/>
          <w:u w:val="none"/>
          <w:lang w:val="en-US" w:eastAsia="zh-CN"/>
        </w:rPr>
        <w:t>市卫健委机关</w:t>
      </w:r>
      <w:r>
        <w:rPr>
          <w:rFonts w:hint="default" w:ascii="仿宋_GB2312" w:hAnsi="仿宋_GB2312" w:cs="仿宋_GB2312"/>
          <w:sz w:val="32"/>
          <w:szCs w:val="32"/>
          <w:u w:val="none"/>
          <w:lang w:val="en-US" w:eastAsia="zh-CN"/>
        </w:rPr>
        <w:t>为</w:t>
      </w:r>
      <w:r>
        <w:rPr>
          <w:rFonts w:hint="eastAsia" w:ascii="仿宋_GB2312" w:hAnsi="仿宋_GB2312" w:cs="仿宋_GB2312"/>
          <w:sz w:val="32"/>
          <w:szCs w:val="32"/>
          <w:u w:val="none"/>
          <w:lang w:val="en-US" w:eastAsia="zh-CN"/>
        </w:rPr>
        <w:t>黄石市卫生健康委员会的</w:t>
      </w:r>
      <w:r>
        <w:rPr>
          <w:rFonts w:hint="default" w:ascii="仿宋_GB2312" w:hAnsi="仿宋_GB2312" w:cs="仿宋_GB2312"/>
          <w:sz w:val="32"/>
          <w:szCs w:val="32"/>
          <w:u w:val="none"/>
          <w:lang w:val="en-US" w:eastAsia="zh-CN"/>
        </w:rPr>
        <w:t>二级预算单位，局机关内设</w:t>
      </w:r>
      <w:r>
        <w:rPr>
          <w:rFonts w:hint="eastAsia" w:ascii="仿宋" w:hAnsi="仿宋" w:eastAsia="仿宋"/>
          <w:color w:val="000000"/>
          <w:szCs w:val="32"/>
          <w:u w:val="none"/>
          <w:shd w:val="clear" w:color="auto" w:fill="FFFFFF"/>
        </w:rPr>
        <w:t>办公室(财务科、宣传科）、政工科（机关党委办公室、离退休干部科）、规划发展与信息化科、健康黄石建设办公室（市爱国卫生运动委员会办公室、市血吸虫病防治领导小组办公室）、疾病预防控制科（卫生应急办公室、市国防动员委员会医疗卫生办公室）、医政医管科（体制改革科、药物政策与基本药物制度科）、基层卫生健康科(老龄健康科)、综合监督科(政策法规科、行政审批科)、妇幼健康科、中医药综合科（中医药医政管理科、科技教育科）、人口监测与家庭发展科、市委保健委员会办公室</w:t>
      </w:r>
      <w:r>
        <w:rPr>
          <w:rFonts w:hint="eastAsia" w:ascii="仿宋" w:hAnsi="仿宋" w:eastAsia="仿宋"/>
          <w:color w:val="000000"/>
          <w:szCs w:val="32"/>
          <w:u w:val="none"/>
          <w:shd w:val="clear" w:color="auto" w:fill="FFFFFF"/>
          <w:lang w:val="en-US" w:eastAsia="zh-CN"/>
        </w:rPr>
        <w:t>12</w:t>
      </w:r>
      <w:r>
        <w:rPr>
          <w:rFonts w:hint="default" w:ascii="仿宋_GB2312" w:hAnsi="仿宋_GB2312" w:cs="仿宋_GB2312"/>
          <w:sz w:val="32"/>
          <w:szCs w:val="32"/>
          <w:u w:val="none"/>
          <w:lang w:val="en-US" w:eastAsia="zh-CN"/>
        </w:rPr>
        <w:t>个机构。</w:t>
      </w:r>
    </w:p>
    <w:p w14:paraId="2F80DE11">
      <w:pPr>
        <w:bidi w:val="0"/>
        <w:ind w:firstLine="640" w:firstLineChars="200"/>
        <w:rPr>
          <w:rFonts w:hint="default"/>
          <w:u w:val="none"/>
          <w:lang w:val="en-US" w:eastAsia="zh-CN"/>
        </w:rPr>
      </w:pPr>
      <w:r>
        <w:rPr>
          <w:rFonts w:hint="eastAsia"/>
          <w:u w:val="none"/>
          <w:lang w:val="en-US" w:eastAsia="zh-CN"/>
        </w:rPr>
        <w:t>委</w:t>
      </w:r>
      <w:r>
        <w:rPr>
          <w:rFonts w:hint="default"/>
          <w:u w:val="none"/>
          <w:lang w:val="en-US" w:eastAsia="zh-CN"/>
        </w:rPr>
        <w:t>直属参照公务员法管理事业单位</w:t>
      </w:r>
      <w:r>
        <w:rPr>
          <w:rFonts w:hint="eastAsia"/>
          <w:u w:val="none"/>
          <w:lang w:val="en-US" w:eastAsia="zh-CN"/>
        </w:rPr>
        <w:t>1</w:t>
      </w:r>
      <w:r>
        <w:rPr>
          <w:rFonts w:hint="default"/>
          <w:u w:val="none"/>
          <w:lang w:val="en-US" w:eastAsia="zh-CN"/>
        </w:rPr>
        <w:t>个。为：</w:t>
      </w:r>
      <w:r>
        <w:rPr>
          <w:rFonts w:hint="eastAsia"/>
          <w:u w:val="none"/>
          <w:lang w:val="en-US" w:eastAsia="zh-CN"/>
        </w:rPr>
        <w:t>黄石市卫生健康委员会综合监督执法局</w:t>
      </w:r>
      <w:r>
        <w:rPr>
          <w:rFonts w:hint="default"/>
          <w:u w:val="none"/>
          <w:lang w:val="en-US" w:eastAsia="zh-CN"/>
        </w:rPr>
        <w:t>。</w:t>
      </w:r>
    </w:p>
    <w:p w14:paraId="4E1F2AE1">
      <w:pPr>
        <w:bidi w:val="0"/>
        <w:ind w:firstLine="640" w:firstLineChars="200"/>
        <w:rPr>
          <w:rFonts w:hint="default"/>
          <w:u w:val="none"/>
          <w:lang w:val="en-US" w:eastAsia="zh-CN"/>
        </w:rPr>
      </w:pPr>
      <w:r>
        <w:rPr>
          <w:rFonts w:hint="default"/>
          <w:u w:val="none"/>
          <w:lang w:val="en-US" w:eastAsia="zh-CN"/>
        </w:rPr>
        <w:t>公益一类事业单位</w:t>
      </w:r>
      <w:r>
        <w:rPr>
          <w:rFonts w:hint="eastAsia"/>
          <w:u w:val="none"/>
          <w:lang w:val="en-US" w:eastAsia="zh-CN"/>
        </w:rPr>
        <w:t>6</w:t>
      </w:r>
      <w:r>
        <w:rPr>
          <w:rFonts w:hint="default"/>
          <w:u w:val="none"/>
          <w:lang w:val="en-US" w:eastAsia="zh-CN"/>
        </w:rPr>
        <w:t>个。分别为：</w:t>
      </w:r>
      <w:r>
        <w:rPr>
          <w:rFonts w:hint="eastAsia"/>
          <w:u w:val="none"/>
          <w:lang w:val="en-US" w:eastAsia="zh-CN"/>
        </w:rPr>
        <w:t>黄石市疾病预防控制中心、黄石市中心血站、黄石市结核病防治院、黄石市医学评价暨继续教育办公室、黄石市临床检验中心、黄石市急救中心</w:t>
      </w:r>
      <w:r>
        <w:rPr>
          <w:rFonts w:hint="default"/>
          <w:u w:val="none"/>
          <w:lang w:val="en-US" w:eastAsia="zh-CN"/>
        </w:rPr>
        <w:t>。</w:t>
      </w:r>
    </w:p>
    <w:p w14:paraId="26825BAB">
      <w:pPr>
        <w:ind w:firstLine="640"/>
        <w:jc w:val="both"/>
        <w:rPr>
          <w:rFonts w:hint="default" w:ascii="仿宋_GB2312" w:hAnsi="仿宋_GB2312" w:cs="仿宋_GB2312"/>
          <w:sz w:val="32"/>
          <w:szCs w:val="32"/>
          <w:lang w:val="en-US" w:eastAsia="zh-CN"/>
        </w:rPr>
      </w:pPr>
      <w:r>
        <w:rPr>
          <w:rFonts w:hint="default"/>
          <w:u w:val="none"/>
          <w:lang w:val="en-US" w:eastAsia="zh-CN"/>
        </w:rPr>
        <w:t>公益二类事业单位</w:t>
      </w:r>
      <w:r>
        <w:rPr>
          <w:rFonts w:hint="eastAsia"/>
          <w:u w:val="none"/>
          <w:lang w:val="en-US" w:eastAsia="zh-CN"/>
        </w:rPr>
        <w:t>5</w:t>
      </w:r>
      <w:r>
        <w:rPr>
          <w:rFonts w:hint="default"/>
          <w:u w:val="none"/>
          <w:lang w:val="en-US" w:eastAsia="zh-CN"/>
        </w:rPr>
        <w:t>个。分别为：</w:t>
      </w:r>
      <w:r>
        <w:rPr>
          <w:rFonts w:hint="eastAsia"/>
          <w:u w:val="none"/>
          <w:lang w:val="en-US" w:eastAsia="zh-CN"/>
        </w:rPr>
        <w:t>黄石市临床放射杂志社、时珍国药杂志社、黄石市中心医院、黄石市妇幼保健院、黄石市中医医院</w:t>
      </w:r>
      <w:r>
        <w:rPr>
          <w:rFonts w:hint="default" w:ascii="仿宋_GB2312" w:hAnsi="仿宋_GB2312" w:cs="仿宋_GB2312"/>
          <w:sz w:val="32"/>
          <w:szCs w:val="32"/>
          <w:lang w:val="en-US" w:eastAsia="zh-CN"/>
        </w:rPr>
        <w:t>。</w:t>
      </w:r>
    </w:p>
    <w:p w14:paraId="6CCFAD34">
      <w:pPr>
        <w:adjustRightInd w:val="0"/>
        <w:snapToGrid w:val="0"/>
        <w:spacing w:line="580" w:lineRule="atLeast"/>
        <w:ind w:firstLine="643" w:firstLineChars="200"/>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第三部分  预算收支安排及增减变化情况</w:t>
      </w:r>
    </w:p>
    <w:p w14:paraId="5B88FB9B">
      <w:pPr>
        <w:adjustRightInd w:val="0"/>
        <w:snapToGrid w:val="0"/>
        <w:spacing w:line="580" w:lineRule="atLeast"/>
        <w:ind w:firstLine="643" w:firstLineChars="200"/>
        <w:rPr>
          <w:rFonts w:hint="eastAsia" w:ascii="仿宋_GB2312" w:hAnsi="宋体" w:eastAsia="仿宋_GB2312"/>
          <w:b/>
          <w:bCs w:val="0"/>
          <w:sz w:val="32"/>
          <w:szCs w:val="32"/>
          <w:highlight w:val="none"/>
          <w:lang w:val="en-US" w:eastAsia="zh-CN"/>
        </w:rPr>
      </w:pPr>
      <w:r>
        <w:rPr>
          <w:rFonts w:hint="eastAsia" w:ascii="仿宋_GB2312" w:hAnsi="宋体"/>
          <w:b/>
          <w:bCs w:val="0"/>
          <w:sz w:val="32"/>
          <w:szCs w:val="32"/>
          <w:highlight w:val="none"/>
          <w:lang w:val="en-US" w:eastAsia="zh-CN"/>
        </w:rPr>
        <w:t>（</w:t>
      </w:r>
      <w:r>
        <w:rPr>
          <w:rFonts w:hint="eastAsia" w:ascii="仿宋_GB2312" w:hAnsi="宋体" w:eastAsia="仿宋_GB2312"/>
          <w:b/>
          <w:bCs w:val="0"/>
          <w:sz w:val="32"/>
          <w:szCs w:val="32"/>
          <w:highlight w:val="none"/>
          <w:lang w:val="en-US" w:eastAsia="zh-CN"/>
        </w:rPr>
        <w:t>一</w:t>
      </w:r>
      <w:r>
        <w:rPr>
          <w:rFonts w:hint="eastAsia" w:ascii="仿宋_GB2312" w:hAnsi="宋体"/>
          <w:b/>
          <w:bCs w:val="0"/>
          <w:sz w:val="32"/>
          <w:szCs w:val="32"/>
          <w:highlight w:val="none"/>
          <w:lang w:val="en-US" w:eastAsia="zh-CN"/>
        </w:rPr>
        <w:t>）</w:t>
      </w:r>
      <w:r>
        <w:rPr>
          <w:rFonts w:hint="eastAsia" w:ascii="仿宋_GB2312" w:hAnsi="宋体" w:eastAsia="仿宋_GB2312"/>
          <w:b/>
          <w:bCs w:val="0"/>
          <w:sz w:val="32"/>
          <w:szCs w:val="32"/>
          <w:highlight w:val="none"/>
          <w:lang w:val="en-US" w:eastAsia="zh-CN"/>
        </w:rPr>
        <w:t>收</w:t>
      </w:r>
      <w:r>
        <w:rPr>
          <w:rFonts w:hint="eastAsia" w:ascii="仿宋_GB2312" w:hAnsi="宋体"/>
          <w:b/>
          <w:bCs w:val="0"/>
          <w:sz w:val="32"/>
          <w:szCs w:val="32"/>
          <w:highlight w:val="none"/>
          <w:lang w:val="en-US" w:eastAsia="zh-CN"/>
        </w:rPr>
        <w:t>入支出预算</w:t>
      </w:r>
      <w:r>
        <w:rPr>
          <w:rFonts w:hint="eastAsia" w:ascii="仿宋_GB2312" w:hAnsi="宋体" w:eastAsia="仿宋_GB2312"/>
          <w:b/>
          <w:bCs w:val="0"/>
          <w:sz w:val="32"/>
          <w:szCs w:val="32"/>
          <w:highlight w:val="none"/>
          <w:lang w:val="en-US" w:eastAsia="zh-CN"/>
        </w:rPr>
        <w:t>总体情况</w:t>
      </w:r>
      <w:r>
        <w:rPr>
          <w:rFonts w:hint="eastAsia" w:ascii="仿宋_GB2312" w:hAnsi="宋体"/>
          <w:b/>
          <w:bCs w:val="0"/>
          <w:sz w:val="32"/>
          <w:szCs w:val="32"/>
          <w:highlight w:val="none"/>
          <w:lang w:val="en-US" w:eastAsia="zh-CN"/>
        </w:rPr>
        <w:t>及增减变化情况</w:t>
      </w:r>
      <w:r>
        <w:rPr>
          <w:rFonts w:hint="eastAsia" w:ascii="仿宋_GB2312" w:hAnsi="宋体" w:eastAsia="仿宋_GB2312"/>
          <w:b/>
          <w:bCs w:val="0"/>
          <w:sz w:val="32"/>
          <w:szCs w:val="32"/>
          <w:highlight w:val="none"/>
          <w:lang w:val="en-US" w:eastAsia="zh-CN"/>
        </w:rPr>
        <w:t>说明</w:t>
      </w:r>
    </w:p>
    <w:p w14:paraId="3DA5018F">
      <w:pPr>
        <w:bidi w:val="0"/>
        <w:ind w:firstLine="640" w:firstLineChars="200"/>
        <w:rPr>
          <w:rFonts w:hint="default" w:ascii="黑体" w:hAnsi="黑体" w:eastAsia="黑体" w:cs="黑体"/>
          <w:b/>
          <w:bCs w:val="0"/>
          <w:sz w:val="32"/>
          <w:szCs w:val="32"/>
          <w:lang w:val="en-US" w:eastAsia="zh-CN"/>
        </w:rPr>
      </w:pPr>
      <w:r>
        <w:rPr>
          <w:rFonts w:hint="eastAsia" w:ascii="仿宋_GB2312" w:hAnsi="宋体"/>
          <w:bCs/>
          <w:sz w:val="32"/>
          <w:szCs w:val="32"/>
          <w:highlight w:val="none"/>
          <w:lang w:val="en-US" w:eastAsia="zh-CN"/>
        </w:rPr>
        <w:t>按照综合预算的原则，</w:t>
      </w:r>
      <w:r>
        <w:rPr>
          <w:rFonts w:hint="eastAsia" w:ascii="仿宋_GB2312" w:hAnsi="宋体" w:cs="Times New Roman"/>
          <w:bCs/>
          <w:sz w:val="32"/>
          <w:szCs w:val="32"/>
          <w:highlight w:val="none"/>
          <w:u w:val="none"/>
          <w:lang w:val="en-US" w:eastAsia="zh-CN"/>
        </w:rPr>
        <w:t>市卫健委机关</w:t>
      </w:r>
      <w:r>
        <w:rPr>
          <w:rFonts w:hint="eastAsia" w:ascii="仿宋_GB2312" w:hAnsi="宋体"/>
          <w:bCs/>
          <w:sz w:val="32"/>
          <w:szCs w:val="32"/>
          <w:highlight w:val="none"/>
          <w:lang w:val="en-US" w:eastAsia="zh-CN"/>
        </w:rPr>
        <w:t>所有收入和支出均纳入部门预算管理。</w:t>
      </w:r>
      <w:r>
        <w:rPr>
          <w:rFonts w:hint="eastAsia" w:ascii="仿宋_GB2312" w:hAnsi="宋体"/>
          <w:b/>
          <w:bCs w:val="0"/>
          <w:sz w:val="32"/>
          <w:szCs w:val="32"/>
          <w:highlight w:val="none"/>
          <w:lang w:val="en-US" w:eastAsia="zh-CN"/>
        </w:rPr>
        <w:t>收入包括：</w:t>
      </w:r>
      <w:r>
        <w:rPr>
          <w:rFonts w:hint="eastAsia" w:ascii="仿宋_GB2312" w:hAnsi="宋体"/>
          <w:bCs/>
          <w:sz w:val="32"/>
          <w:szCs w:val="32"/>
          <w:highlight w:val="none"/>
          <w:lang w:val="en-US" w:eastAsia="zh-CN"/>
        </w:rPr>
        <w:t>一般公共预算拨款收入；</w:t>
      </w:r>
      <w:r>
        <w:rPr>
          <w:rFonts w:hint="eastAsia" w:ascii="仿宋_GB2312" w:hAnsi="宋体"/>
          <w:b/>
          <w:bCs w:val="0"/>
          <w:sz w:val="32"/>
          <w:szCs w:val="32"/>
          <w:highlight w:val="none"/>
          <w:lang w:val="en-US" w:eastAsia="zh-CN"/>
        </w:rPr>
        <w:t>支出包括：</w:t>
      </w:r>
      <w:r>
        <w:rPr>
          <w:rFonts w:hint="eastAsia" w:ascii="仿宋_GB2312" w:hAnsi="宋体"/>
          <w:bCs/>
          <w:sz w:val="32"/>
          <w:szCs w:val="32"/>
          <w:highlight w:val="none"/>
          <w:lang w:val="en-US" w:eastAsia="zh-CN"/>
        </w:rPr>
        <w:t>卫生健康支出</w:t>
      </w:r>
      <w:r>
        <w:rPr>
          <w:rFonts w:hint="eastAsia" w:ascii="仿宋_GB2312" w:hAnsi="仿宋_GB2312" w:cs="仿宋_GB2312"/>
          <w:sz w:val="32"/>
          <w:szCs w:val="32"/>
          <w:highlight w:val="none"/>
          <w:lang w:val="en-US" w:eastAsia="zh-CN"/>
        </w:rPr>
        <w:t>；</w:t>
      </w:r>
      <w:r>
        <w:rPr>
          <w:rFonts w:hint="eastAsia" w:ascii="黑体" w:hAnsi="黑体" w:eastAsia="黑体" w:cs="黑体"/>
          <w:b w:val="0"/>
          <w:bCs w:val="0"/>
          <w:sz w:val="32"/>
          <w:szCs w:val="32"/>
          <w:u w:val="none"/>
          <w:lang w:val="en-US" w:eastAsia="zh-CN"/>
        </w:rPr>
        <w:t>2024</w:t>
      </w:r>
      <w:r>
        <w:rPr>
          <w:rFonts w:hint="eastAsia" w:ascii="仿宋_GB2312" w:hAnsi="宋体" w:eastAsia="仿宋_GB2312"/>
          <w:b w:val="0"/>
          <w:bCs/>
          <w:sz w:val="32"/>
          <w:szCs w:val="32"/>
          <w:highlight w:val="none"/>
          <w:lang w:val="en-US" w:eastAsia="zh-CN"/>
        </w:rPr>
        <w:t>年</w:t>
      </w:r>
      <w:r>
        <w:rPr>
          <w:rFonts w:hint="eastAsia" w:ascii="仿宋_GB2312" w:hAnsi="宋体"/>
          <w:b w:val="0"/>
          <w:bCs/>
          <w:sz w:val="32"/>
          <w:szCs w:val="32"/>
          <w:highlight w:val="none"/>
          <w:lang w:val="en-US" w:eastAsia="zh-CN"/>
        </w:rPr>
        <w:t>度</w:t>
      </w:r>
      <w:r>
        <w:rPr>
          <w:rFonts w:hint="eastAsia" w:ascii="仿宋_GB2312" w:hAnsi="宋体" w:eastAsia="仿宋_GB2312"/>
          <w:b w:val="0"/>
          <w:bCs/>
          <w:sz w:val="32"/>
          <w:szCs w:val="32"/>
          <w:highlight w:val="none"/>
          <w:lang w:val="en-US" w:eastAsia="zh-CN"/>
        </w:rPr>
        <w:t>收支</w:t>
      </w:r>
      <w:r>
        <w:rPr>
          <w:rFonts w:hint="eastAsia" w:ascii="仿宋_GB2312" w:hAnsi="宋体"/>
          <w:b w:val="0"/>
          <w:bCs/>
          <w:sz w:val="32"/>
          <w:szCs w:val="32"/>
          <w:highlight w:val="none"/>
          <w:lang w:val="en-US" w:eastAsia="zh-CN"/>
        </w:rPr>
        <w:t>总预算</w:t>
      </w:r>
      <w:r>
        <w:rPr>
          <w:rFonts w:hint="eastAsia" w:ascii="仿宋_GB2312" w:hAnsi="宋体"/>
          <w:b w:val="0"/>
          <w:bCs/>
          <w:sz w:val="32"/>
          <w:szCs w:val="32"/>
          <w:highlight w:val="none"/>
          <w:u w:val="single"/>
          <w:lang w:val="en-US" w:eastAsia="zh-CN"/>
        </w:rPr>
        <w:t>9056.22</w:t>
      </w:r>
      <w:r>
        <w:rPr>
          <w:rFonts w:hint="eastAsia" w:ascii="仿宋_GB2312" w:hAnsi="宋体" w:eastAsia="仿宋_GB2312"/>
          <w:b w:val="0"/>
          <w:bCs/>
          <w:sz w:val="32"/>
          <w:szCs w:val="32"/>
          <w:highlight w:val="none"/>
          <w:lang w:val="en-US" w:eastAsia="zh-CN"/>
        </w:rPr>
        <w:t>万元。</w:t>
      </w:r>
    </w:p>
    <w:p w14:paraId="7FCC3A6B">
      <w:pPr>
        <w:bidi w:val="0"/>
        <w:rPr>
          <w:rFonts w:hint="default" w:ascii="黑体" w:hAnsi="黑体" w:eastAsia="黑体" w:cs="黑体"/>
          <w:sz w:val="32"/>
          <w:szCs w:val="32"/>
          <w:lang w:val="en-US" w:eastAsia="zh-CN"/>
        </w:rPr>
      </w:pPr>
      <w:r>
        <w:rPr>
          <w:rFonts w:hint="eastAsia"/>
          <w:lang w:val="en-US" w:eastAsia="zh-CN"/>
        </w:rPr>
        <w:t>其中：1、收入预算情况。</w:t>
      </w:r>
      <w:r>
        <w:rPr>
          <w:rFonts w:hint="eastAsia" w:ascii="黑体" w:hAnsi="黑体" w:eastAsia="黑体" w:cs="黑体"/>
          <w:b w:val="0"/>
          <w:bCs w:val="0"/>
          <w:sz w:val="32"/>
          <w:szCs w:val="32"/>
          <w:u w:val="none"/>
          <w:lang w:val="en-US" w:eastAsia="zh-CN"/>
        </w:rPr>
        <w:t>2024</w:t>
      </w:r>
      <w:r>
        <w:rPr>
          <w:rFonts w:hint="eastAsia"/>
          <w:lang w:val="en-US" w:eastAsia="zh-CN"/>
        </w:rPr>
        <w:t>年度收入预算</w:t>
      </w:r>
      <w:r>
        <w:rPr>
          <w:rFonts w:hint="eastAsia" w:ascii="仿宋_GB2312"/>
          <w:bCs/>
          <w:kern w:val="44"/>
          <w:sz w:val="32"/>
          <w:szCs w:val="32"/>
          <w:highlight w:val="none"/>
          <w:u w:val="single"/>
          <w:lang w:val="en-US" w:eastAsia="zh-CN"/>
        </w:rPr>
        <w:t>9056.22</w:t>
      </w:r>
      <w:r>
        <w:rPr>
          <w:rFonts w:hint="eastAsia"/>
          <w:lang w:val="en-US" w:eastAsia="zh-CN"/>
        </w:rPr>
        <w:t>万元， 比上年预算增加2996.77万元，</w:t>
      </w:r>
      <w:r>
        <w:rPr>
          <w:rFonts w:hint="eastAsia" w:ascii="仿宋_GB2312" w:eastAsia="仿宋_GB2312"/>
          <w:bCs/>
          <w:kern w:val="44"/>
          <w:sz w:val="32"/>
          <w:szCs w:val="32"/>
          <w:highlight w:val="none"/>
        </w:rPr>
        <w:t>增长</w:t>
      </w:r>
      <w:r>
        <w:rPr>
          <w:rFonts w:hint="eastAsia" w:ascii="仿宋_GB2312"/>
          <w:bCs/>
          <w:kern w:val="44"/>
          <w:sz w:val="32"/>
          <w:szCs w:val="32"/>
          <w:highlight w:val="none"/>
          <w:lang w:val="en-US" w:eastAsia="zh-CN"/>
        </w:rPr>
        <w:t>49.46</w:t>
      </w:r>
      <w:r>
        <w:rPr>
          <w:rFonts w:hint="eastAsia" w:ascii="仿宋_GB2312" w:eastAsia="仿宋_GB2312"/>
          <w:bCs/>
          <w:kern w:val="44"/>
          <w:sz w:val="32"/>
          <w:szCs w:val="32"/>
          <w:highlight w:val="none"/>
        </w:rPr>
        <w:t>%</w:t>
      </w:r>
      <w:r>
        <w:rPr>
          <w:rFonts w:hint="eastAsia"/>
          <w:lang w:val="en-US" w:eastAsia="zh-CN"/>
        </w:rPr>
        <w:t>。其中，一般公共预算拨款收入</w:t>
      </w:r>
      <w:r>
        <w:rPr>
          <w:rFonts w:hint="eastAsia" w:ascii="仿宋_GB2312"/>
          <w:bCs/>
          <w:kern w:val="44"/>
          <w:sz w:val="32"/>
          <w:szCs w:val="32"/>
          <w:highlight w:val="none"/>
          <w:u w:val="single"/>
          <w:lang w:val="en-US" w:eastAsia="zh-CN"/>
        </w:rPr>
        <w:t>9056.22</w:t>
      </w:r>
      <w:r>
        <w:rPr>
          <w:rFonts w:hint="eastAsia"/>
          <w:lang w:val="en-US" w:eastAsia="zh-CN"/>
        </w:rPr>
        <w:t>万元，</w:t>
      </w:r>
      <w:r>
        <w:rPr>
          <w:rFonts w:hint="eastAsia" w:ascii="仿宋_GB2312" w:hAnsi="宋体"/>
          <w:bCs/>
          <w:szCs w:val="32"/>
          <w:highlight w:val="none"/>
          <w:lang w:val="en-US" w:eastAsia="zh-CN"/>
        </w:rPr>
        <w:t>占本年收入</w:t>
      </w:r>
      <w:r>
        <w:rPr>
          <w:rFonts w:hint="eastAsia" w:ascii="仿宋_GB2312" w:hAnsi="宋体"/>
          <w:bCs/>
          <w:szCs w:val="32"/>
          <w:highlight w:val="none"/>
          <w:u w:val="single"/>
          <w:lang w:val="en-US" w:eastAsia="zh-CN"/>
        </w:rPr>
        <w:t>100</w:t>
      </w:r>
      <w:r>
        <w:rPr>
          <w:rFonts w:hint="eastAsia" w:ascii="仿宋_GB2312" w:hAnsi="宋体"/>
          <w:bCs/>
          <w:szCs w:val="32"/>
          <w:highlight w:val="none"/>
          <w:lang w:val="en-US" w:eastAsia="zh-CN"/>
        </w:rPr>
        <w:t>%，</w:t>
      </w:r>
      <w:r>
        <w:rPr>
          <w:rFonts w:hint="eastAsia"/>
          <w:lang w:val="en-US" w:eastAsia="zh-CN"/>
        </w:rPr>
        <w:t>包括经费拨款</w:t>
      </w:r>
      <w:r>
        <w:rPr>
          <w:rFonts w:hint="eastAsia" w:ascii="仿宋_GB2312"/>
          <w:bCs/>
          <w:kern w:val="44"/>
          <w:sz w:val="32"/>
          <w:szCs w:val="32"/>
          <w:highlight w:val="none"/>
          <w:u w:val="single"/>
          <w:lang w:val="en-US" w:eastAsia="zh-CN"/>
        </w:rPr>
        <w:t>9056.22</w:t>
      </w:r>
      <w:r>
        <w:rPr>
          <w:rFonts w:hint="eastAsia"/>
          <w:lang w:val="en-US" w:eastAsia="zh-CN"/>
        </w:rPr>
        <w:t>万元。</w:t>
      </w:r>
    </w:p>
    <w:p w14:paraId="7286AF5E">
      <w:pPr>
        <w:numPr>
          <w:ilvl w:val="0"/>
          <w:numId w:val="0"/>
        </w:numPr>
        <w:bidi w:val="0"/>
        <w:ind w:firstLine="643" w:firstLineChars="200"/>
        <w:rPr>
          <w:rFonts w:hint="eastAsia"/>
          <w:b/>
          <w:bCs/>
          <w:lang w:val="en-US" w:eastAsia="zh-CN"/>
        </w:rPr>
      </w:pPr>
      <w:r>
        <w:rPr>
          <w:rFonts w:hint="eastAsia"/>
          <w:b/>
          <w:bCs/>
          <w:lang w:val="en-US" w:eastAsia="zh-CN"/>
        </w:rPr>
        <w:t>收入增加原因：</w:t>
      </w:r>
      <w:r>
        <w:rPr>
          <w:rFonts w:hint="eastAsia"/>
          <w:b w:val="0"/>
          <w:bCs w:val="0"/>
          <w:lang w:val="en-US" w:eastAsia="zh-CN"/>
        </w:rPr>
        <w:t>项目增加。</w:t>
      </w:r>
    </w:p>
    <w:p w14:paraId="5BF8D591">
      <w:pPr>
        <w:bidi w:val="0"/>
        <w:ind w:firstLine="640" w:firstLineChars="200"/>
        <w:rPr>
          <w:rFonts w:hint="default" w:ascii="黑体" w:hAnsi="黑体" w:eastAsia="黑体" w:cs="黑体"/>
          <w:sz w:val="32"/>
          <w:szCs w:val="32"/>
          <w:lang w:val="en-US" w:eastAsia="zh-CN"/>
        </w:rPr>
      </w:pPr>
      <w:r>
        <w:rPr>
          <w:rFonts w:hint="eastAsia"/>
          <w:lang w:val="en-US" w:eastAsia="zh-CN"/>
        </w:rPr>
        <w:t>2、支出预算情况。</w:t>
      </w:r>
      <w:r>
        <w:rPr>
          <w:rFonts w:hint="eastAsia" w:ascii="黑体" w:hAnsi="黑体" w:eastAsia="黑体" w:cs="黑体"/>
          <w:b w:val="0"/>
          <w:bCs w:val="0"/>
          <w:sz w:val="32"/>
          <w:szCs w:val="32"/>
          <w:u w:val="none"/>
          <w:lang w:val="en-US" w:eastAsia="zh-CN"/>
        </w:rPr>
        <w:t>2024</w:t>
      </w:r>
      <w:r>
        <w:rPr>
          <w:rFonts w:hint="eastAsia"/>
          <w:lang w:val="en-US" w:eastAsia="zh-CN"/>
        </w:rPr>
        <w:t>年度支出预算</w:t>
      </w:r>
      <w:r>
        <w:rPr>
          <w:rFonts w:hint="eastAsia" w:ascii="仿宋_GB2312"/>
          <w:bCs/>
          <w:kern w:val="44"/>
          <w:sz w:val="32"/>
          <w:szCs w:val="32"/>
          <w:highlight w:val="none"/>
          <w:u w:val="single"/>
          <w:lang w:val="en-US" w:eastAsia="zh-CN"/>
        </w:rPr>
        <w:t>9056.22</w:t>
      </w:r>
      <w:r>
        <w:rPr>
          <w:rFonts w:hint="eastAsia"/>
          <w:lang w:val="en-US" w:eastAsia="zh-CN"/>
        </w:rPr>
        <w:t>万元，</w:t>
      </w:r>
      <w:r>
        <w:rPr>
          <w:rFonts w:hint="eastAsia" w:ascii="仿宋_GB2312" w:eastAsia="仿宋_GB2312"/>
          <w:bCs/>
          <w:kern w:val="44"/>
          <w:sz w:val="32"/>
          <w:szCs w:val="32"/>
          <w:highlight w:val="none"/>
          <w:u w:val="single"/>
        </w:rPr>
        <w:t xml:space="preserve">      </w:t>
      </w:r>
      <w:r>
        <w:rPr>
          <w:rFonts w:hint="eastAsia"/>
          <w:lang w:val="en-US" w:eastAsia="zh-CN"/>
        </w:rPr>
        <w:t>万元， 比上年预算增加2996.77万元，</w:t>
      </w:r>
      <w:r>
        <w:rPr>
          <w:rFonts w:hint="eastAsia" w:ascii="仿宋_GB2312" w:eastAsia="仿宋_GB2312"/>
          <w:bCs/>
          <w:kern w:val="44"/>
          <w:sz w:val="32"/>
          <w:szCs w:val="32"/>
          <w:highlight w:val="none"/>
        </w:rPr>
        <w:t>增长</w:t>
      </w:r>
      <w:r>
        <w:rPr>
          <w:rFonts w:hint="eastAsia" w:ascii="仿宋_GB2312"/>
          <w:bCs/>
          <w:kern w:val="44"/>
          <w:sz w:val="32"/>
          <w:szCs w:val="32"/>
          <w:highlight w:val="none"/>
          <w:lang w:val="en-US" w:eastAsia="zh-CN"/>
        </w:rPr>
        <w:t>49.46</w:t>
      </w:r>
      <w:r>
        <w:rPr>
          <w:rFonts w:hint="eastAsia" w:ascii="仿宋_GB2312" w:eastAsia="仿宋_GB2312"/>
          <w:bCs/>
          <w:kern w:val="44"/>
          <w:sz w:val="32"/>
          <w:szCs w:val="32"/>
          <w:highlight w:val="none"/>
        </w:rPr>
        <w:t>%</w:t>
      </w:r>
      <w:r>
        <w:rPr>
          <w:rFonts w:hint="eastAsia"/>
          <w:lang w:val="en-US" w:eastAsia="zh-CN"/>
        </w:rPr>
        <w:t>。</w:t>
      </w:r>
      <w:r>
        <w:rPr>
          <w:rFonts w:hint="eastAsia"/>
          <w:highlight w:val="none"/>
          <w:lang w:val="en-US" w:eastAsia="zh-CN"/>
        </w:rPr>
        <w:t>按支出功能分类本年支出预算构成为：卫生健康支出</w:t>
      </w:r>
      <w:r>
        <w:rPr>
          <w:rFonts w:hint="eastAsia" w:ascii="仿宋_GB2312"/>
          <w:bCs/>
          <w:kern w:val="44"/>
          <w:sz w:val="32"/>
          <w:szCs w:val="32"/>
          <w:highlight w:val="none"/>
          <w:u w:val="single"/>
          <w:lang w:val="en-US" w:eastAsia="zh-CN"/>
        </w:rPr>
        <w:t>9056.22</w:t>
      </w:r>
      <w:r>
        <w:rPr>
          <w:rFonts w:hint="eastAsia"/>
          <w:highlight w:val="none"/>
          <w:lang w:val="en-US" w:eastAsia="zh-CN"/>
        </w:rPr>
        <w:t>万元，占本年支出</w:t>
      </w:r>
      <w:r>
        <w:rPr>
          <w:rFonts w:hint="eastAsia" w:ascii="仿宋_GB2312"/>
          <w:bCs/>
          <w:kern w:val="44"/>
          <w:sz w:val="32"/>
          <w:szCs w:val="32"/>
          <w:highlight w:val="none"/>
          <w:u w:val="single"/>
          <w:lang w:val="en-US" w:eastAsia="zh-CN"/>
        </w:rPr>
        <w:t>100</w:t>
      </w:r>
      <w:r>
        <w:rPr>
          <w:rFonts w:hint="eastAsia" w:ascii="仿宋_GB2312" w:eastAsia="仿宋_GB2312"/>
          <w:bCs/>
          <w:kern w:val="44"/>
          <w:sz w:val="32"/>
          <w:szCs w:val="32"/>
          <w:highlight w:val="none"/>
        </w:rPr>
        <w:t>%</w:t>
      </w:r>
      <w:r>
        <w:rPr>
          <w:rFonts w:hint="eastAsia"/>
          <w:highlight w:val="none"/>
          <w:lang w:val="en-US" w:eastAsia="zh-CN"/>
        </w:rPr>
        <w:t>。</w:t>
      </w:r>
    </w:p>
    <w:p w14:paraId="69E3A571">
      <w:pPr>
        <w:bidi w:val="0"/>
        <w:ind w:firstLine="640" w:firstLineChars="200"/>
        <w:rPr>
          <w:rFonts w:hint="eastAsia" w:ascii="黑体" w:hAnsi="黑体" w:eastAsia="黑体" w:cs="黑体"/>
          <w:sz w:val="32"/>
          <w:szCs w:val="32"/>
          <w:lang w:val="en-US" w:eastAsia="zh-CN"/>
        </w:rPr>
      </w:pPr>
      <w:r>
        <w:rPr>
          <w:rFonts w:hint="eastAsia"/>
          <w:highlight w:val="none"/>
          <w:lang w:val="en-US" w:eastAsia="zh-CN"/>
        </w:rPr>
        <w:t>按支出结构划分本年支出预算构成为：</w:t>
      </w:r>
      <w:r>
        <w:rPr>
          <w:rFonts w:hint="eastAsia"/>
          <w:lang w:val="en-US" w:eastAsia="zh-CN"/>
        </w:rPr>
        <w:t>基本支出1264.22万元，占总支出的</w:t>
      </w:r>
      <w:r>
        <w:rPr>
          <w:rFonts w:hint="eastAsia" w:ascii="仿宋_GB2312"/>
          <w:bCs/>
          <w:kern w:val="44"/>
          <w:sz w:val="32"/>
          <w:szCs w:val="32"/>
          <w:highlight w:val="none"/>
          <w:u w:val="single"/>
          <w:lang w:val="en-US" w:eastAsia="zh-CN"/>
        </w:rPr>
        <w:t>13.96</w:t>
      </w:r>
      <w:r>
        <w:rPr>
          <w:rFonts w:hint="eastAsia" w:ascii="仿宋_GB2312" w:eastAsia="仿宋_GB2312"/>
          <w:bCs/>
          <w:kern w:val="44"/>
          <w:sz w:val="32"/>
          <w:szCs w:val="32"/>
          <w:highlight w:val="none"/>
        </w:rPr>
        <w:t>%</w:t>
      </w:r>
      <w:r>
        <w:rPr>
          <w:rFonts w:hint="eastAsia"/>
          <w:lang w:val="en-US" w:eastAsia="zh-CN"/>
        </w:rPr>
        <w:t>；项目支出</w:t>
      </w:r>
      <w:r>
        <w:rPr>
          <w:rFonts w:hint="eastAsia" w:ascii="仿宋_GB2312"/>
          <w:bCs/>
          <w:kern w:val="44"/>
          <w:sz w:val="32"/>
          <w:szCs w:val="32"/>
          <w:highlight w:val="none"/>
          <w:u w:val="single"/>
          <w:lang w:val="en-US" w:eastAsia="zh-CN"/>
        </w:rPr>
        <w:t>7792</w:t>
      </w:r>
      <w:r>
        <w:rPr>
          <w:rFonts w:hint="eastAsia"/>
          <w:lang w:val="en-US" w:eastAsia="zh-CN"/>
        </w:rPr>
        <w:t>万元，占总支出的</w:t>
      </w:r>
      <w:r>
        <w:rPr>
          <w:rFonts w:hint="eastAsia" w:ascii="仿宋_GB2312"/>
          <w:bCs/>
          <w:kern w:val="44"/>
          <w:sz w:val="32"/>
          <w:szCs w:val="32"/>
          <w:highlight w:val="none"/>
          <w:u w:val="single"/>
          <w:lang w:val="en-US" w:eastAsia="zh-CN"/>
        </w:rPr>
        <w:t>86.04</w:t>
      </w:r>
      <w:r>
        <w:rPr>
          <w:rFonts w:hint="eastAsia" w:ascii="仿宋_GB2312" w:eastAsia="仿宋_GB2312"/>
          <w:bCs/>
          <w:kern w:val="44"/>
          <w:sz w:val="32"/>
          <w:szCs w:val="32"/>
          <w:highlight w:val="none"/>
        </w:rPr>
        <w:t>%</w:t>
      </w:r>
      <w:r>
        <w:rPr>
          <w:rFonts w:hint="eastAsia" w:ascii="仿宋_GB2312" w:eastAsia="仿宋_GB2312"/>
          <w:bCs/>
          <w:kern w:val="44"/>
          <w:szCs w:val="32"/>
          <w:highlight w:val="none"/>
        </w:rPr>
        <w:t>。</w:t>
      </w:r>
    </w:p>
    <w:p w14:paraId="03649CAD">
      <w:pPr>
        <w:numPr>
          <w:ilvl w:val="0"/>
          <w:numId w:val="0"/>
        </w:numPr>
        <w:bidi w:val="0"/>
        <w:ind w:firstLine="643" w:firstLineChars="200"/>
        <w:rPr>
          <w:rFonts w:hint="eastAsia"/>
          <w:b/>
          <w:bCs/>
          <w:lang w:val="en-US" w:eastAsia="zh-CN"/>
        </w:rPr>
      </w:pPr>
      <w:r>
        <w:rPr>
          <w:rFonts w:hint="eastAsia"/>
          <w:b/>
          <w:bCs/>
          <w:lang w:val="en-US" w:eastAsia="zh-CN"/>
        </w:rPr>
        <w:t>支出增加原因：</w:t>
      </w:r>
    </w:p>
    <w:p w14:paraId="59A83A0A">
      <w:pPr>
        <w:numPr>
          <w:ilvl w:val="0"/>
          <w:numId w:val="0"/>
        </w:numPr>
        <w:bidi w:val="0"/>
        <w:ind w:firstLine="640" w:firstLineChars="200"/>
        <w:rPr>
          <w:rFonts w:hint="eastAsia"/>
          <w:lang w:val="en-US" w:eastAsia="zh-CN"/>
        </w:rPr>
      </w:pPr>
      <w:r>
        <w:rPr>
          <w:rFonts w:hint="eastAsia"/>
          <w:lang w:val="en-US" w:eastAsia="zh-CN"/>
        </w:rPr>
        <w:t>（1）</w:t>
      </w:r>
      <w:r>
        <w:rPr>
          <w:rFonts w:hint="eastAsia" w:ascii="黑体" w:hAnsi="黑体" w:eastAsia="黑体" w:cs="黑体"/>
          <w:b w:val="0"/>
          <w:bCs w:val="0"/>
          <w:sz w:val="32"/>
          <w:szCs w:val="32"/>
          <w:u w:val="none"/>
          <w:lang w:val="en-US" w:eastAsia="zh-CN"/>
        </w:rPr>
        <w:t>2024</w:t>
      </w:r>
      <w:r>
        <w:rPr>
          <w:rFonts w:hint="eastAsia"/>
          <w:lang w:val="en-US" w:eastAsia="zh-CN"/>
        </w:rPr>
        <w:t>年基本支出比上年预算减少52.23万元，</w:t>
      </w:r>
      <w:r>
        <w:rPr>
          <w:rFonts w:hint="eastAsia" w:ascii="仿宋_GB2312" w:eastAsia="仿宋_GB2312"/>
          <w:bCs/>
          <w:kern w:val="44"/>
          <w:sz w:val="32"/>
          <w:szCs w:val="32"/>
          <w:highlight w:val="none"/>
          <w:lang w:eastAsia="zh-CN"/>
        </w:rPr>
        <w:t>下降</w:t>
      </w:r>
      <w:r>
        <w:rPr>
          <w:rFonts w:hint="eastAsia" w:ascii="仿宋_GB2312"/>
          <w:bCs/>
          <w:kern w:val="44"/>
          <w:sz w:val="32"/>
          <w:szCs w:val="32"/>
          <w:highlight w:val="none"/>
          <w:lang w:val="en-US" w:eastAsia="zh-CN"/>
        </w:rPr>
        <w:t>3.97</w:t>
      </w:r>
      <w:r>
        <w:rPr>
          <w:rFonts w:hint="eastAsia" w:ascii="仿宋_GB2312" w:eastAsia="仿宋_GB2312"/>
          <w:bCs/>
          <w:kern w:val="44"/>
          <w:sz w:val="32"/>
          <w:szCs w:val="32"/>
          <w:highlight w:val="none"/>
        </w:rPr>
        <w:t>%</w:t>
      </w:r>
      <w:r>
        <w:rPr>
          <w:rFonts w:hint="eastAsia" w:ascii="仿宋_GB2312"/>
          <w:bCs/>
          <w:kern w:val="44"/>
          <w:sz w:val="32"/>
          <w:szCs w:val="32"/>
          <w:highlight w:val="none"/>
          <w:lang w:eastAsia="zh-CN"/>
        </w:rPr>
        <w:t>，</w:t>
      </w:r>
      <w:r>
        <w:rPr>
          <w:rFonts w:hint="eastAsia"/>
          <w:lang w:val="en-US" w:eastAsia="zh-CN"/>
        </w:rPr>
        <w:t>主要是本年人员减少；</w:t>
      </w:r>
    </w:p>
    <w:p w14:paraId="5093D2B8">
      <w:pPr>
        <w:numPr>
          <w:ilvl w:val="0"/>
          <w:numId w:val="0"/>
        </w:numPr>
        <w:bidi w:val="0"/>
        <w:ind w:firstLine="640" w:firstLineChars="200"/>
        <w:rPr>
          <w:rFonts w:hint="eastAsia"/>
          <w:lang w:val="en-US" w:eastAsia="zh-CN"/>
        </w:rPr>
      </w:pPr>
      <w:r>
        <w:rPr>
          <w:rFonts w:hint="eastAsia"/>
          <w:lang w:val="en-US" w:eastAsia="zh-CN"/>
        </w:rPr>
        <w:t>（2）</w:t>
      </w:r>
      <w:r>
        <w:rPr>
          <w:rFonts w:hint="eastAsia" w:ascii="黑体" w:hAnsi="黑体" w:eastAsia="黑体" w:cs="黑体"/>
          <w:b w:val="0"/>
          <w:bCs w:val="0"/>
          <w:sz w:val="32"/>
          <w:szCs w:val="32"/>
          <w:u w:val="none"/>
          <w:lang w:val="en-US" w:eastAsia="zh-CN"/>
        </w:rPr>
        <w:t>2024</w:t>
      </w:r>
      <w:r>
        <w:rPr>
          <w:rFonts w:hint="eastAsia"/>
          <w:lang w:val="en-US" w:eastAsia="zh-CN"/>
        </w:rPr>
        <w:t>年项目支出比上年预算增加3049万元，</w:t>
      </w:r>
      <w:r>
        <w:rPr>
          <w:rFonts w:hint="eastAsia" w:ascii="仿宋_GB2312" w:eastAsia="仿宋_GB2312"/>
          <w:bCs/>
          <w:kern w:val="44"/>
          <w:sz w:val="32"/>
          <w:szCs w:val="32"/>
          <w:highlight w:val="none"/>
        </w:rPr>
        <w:t>增长</w:t>
      </w:r>
      <w:r>
        <w:rPr>
          <w:rFonts w:hint="eastAsia" w:ascii="仿宋_GB2312"/>
          <w:bCs/>
          <w:kern w:val="44"/>
          <w:sz w:val="32"/>
          <w:szCs w:val="32"/>
          <w:highlight w:val="none"/>
          <w:lang w:val="en-US" w:eastAsia="zh-CN"/>
        </w:rPr>
        <w:t>64.28</w:t>
      </w:r>
      <w:r>
        <w:rPr>
          <w:rFonts w:hint="eastAsia" w:ascii="仿宋_GB2312" w:eastAsia="仿宋_GB2312"/>
          <w:bCs/>
          <w:kern w:val="44"/>
          <w:sz w:val="32"/>
          <w:szCs w:val="32"/>
          <w:highlight w:val="none"/>
        </w:rPr>
        <w:t>%</w:t>
      </w:r>
      <w:r>
        <w:rPr>
          <w:rFonts w:hint="eastAsia" w:ascii="仿宋_GB2312"/>
          <w:bCs/>
          <w:kern w:val="44"/>
          <w:sz w:val="32"/>
          <w:szCs w:val="32"/>
          <w:highlight w:val="none"/>
          <w:lang w:eastAsia="zh-CN"/>
        </w:rPr>
        <w:t>，</w:t>
      </w:r>
      <w:r>
        <w:rPr>
          <w:rFonts w:hint="eastAsia"/>
          <w:lang w:val="en-US" w:eastAsia="zh-CN"/>
        </w:rPr>
        <w:t>主要是本年新增公立医院改革补助经费3200万元、重点专科建设发展经费300万元，减少</w:t>
      </w:r>
      <w:r>
        <w:rPr>
          <w:rFonts w:hint="eastAsia" w:ascii="仿宋" w:hAnsi="仿宋" w:eastAsia="仿宋"/>
          <w:sz w:val="32"/>
          <w:szCs w:val="32"/>
          <w:u w:val="none"/>
        </w:rPr>
        <w:t>免费无创产前基因检测</w:t>
      </w:r>
      <w:r>
        <w:rPr>
          <w:rFonts w:hint="eastAsia" w:ascii="仿宋" w:hAnsi="仿宋" w:eastAsia="仿宋"/>
          <w:sz w:val="32"/>
          <w:szCs w:val="32"/>
          <w:u w:val="none"/>
          <w:lang w:eastAsia="zh-CN"/>
        </w:rPr>
        <w:t>经费</w:t>
      </w:r>
      <w:r>
        <w:rPr>
          <w:rFonts w:hint="eastAsia" w:ascii="仿宋" w:hAnsi="仿宋" w:eastAsia="仿宋"/>
          <w:sz w:val="32"/>
          <w:szCs w:val="32"/>
          <w:u w:val="none"/>
          <w:lang w:val="en-US" w:eastAsia="zh-CN"/>
        </w:rPr>
        <w:t>和</w:t>
      </w:r>
      <w:r>
        <w:rPr>
          <w:rFonts w:hint="eastAsia" w:ascii="仿宋" w:hAnsi="仿宋" w:eastAsia="仿宋"/>
          <w:sz w:val="32"/>
          <w:szCs w:val="32"/>
          <w:u w:val="none"/>
        </w:rPr>
        <w:t>生育托育奖励</w:t>
      </w:r>
      <w:r>
        <w:rPr>
          <w:rFonts w:hint="eastAsia" w:ascii="仿宋" w:hAnsi="仿宋" w:eastAsia="仿宋"/>
          <w:sz w:val="32"/>
          <w:szCs w:val="32"/>
          <w:u w:val="none"/>
          <w:lang w:eastAsia="zh-CN"/>
        </w:rPr>
        <w:t>经费</w:t>
      </w:r>
      <w:r>
        <w:rPr>
          <w:rFonts w:hint="eastAsia" w:ascii="仿宋" w:hAnsi="仿宋" w:eastAsia="仿宋"/>
          <w:sz w:val="32"/>
          <w:szCs w:val="32"/>
          <w:u w:val="none"/>
          <w:lang w:val="en-US" w:eastAsia="zh-CN"/>
        </w:rPr>
        <w:t>448万元</w:t>
      </w:r>
      <w:r>
        <w:rPr>
          <w:rFonts w:hint="eastAsia" w:ascii="仿宋" w:hAnsi="仿宋" w:eastAsia="仿宋"/>
          <w:sz w:val="32"/>
          <w:szCs w:val="32"/>
          <w:u w:val="none"/>
          <w:lang w:eastAsia="zh-CN"/>
        </w:rPr>
        <w:t>等</w:t>
      </w:r>
      <w:r>
        <w:rPr>
          <w:rFonts w:hint="eastAsia"/>
          <w:lang w:val="en-US" w:eastAsia="zh-CN"/>
        </w:rPr>
        <w:t>。</w:t>
      </w:r>
    </w:p>
    <w:p w14:paraId="778A217A">
      <w:pPr>
        <w:bidi w:val="0"/>
        <w:ind w:firstLine="643" w:firstLineChars="200"/>
        <w:rPr>
          <w:rFonts w:hint="eastAsia"/>
          <w:b/>
          <w:bCs/>
          <w:lang w:val="en-US" w:eastAsia="zh-CN"/>
        </w:rPr>
      </w:pPr>
      <w:r>
        <w:rPr>
          <w:rFonts w:hint="eastAsia"/>
          <w:b/>
          <w:bCs/>
          <w:lang w:val="en-US" w:eastAsia="zh-CN"/>
        </w:rPr>
        <w:t>（二）财政拨款收支预算总体情况说明</w:t>
      </w:r>
    </w:p>
    <w:p w14:paraId="3F90B8F7">
      <w:pPr>
        <w:bidi w:val="0"/>
        <w:ind w:firstLine="640" w:firstLineChars="200"/>
        <w:rPr>
          <w:rFonts w:hint="eastAsia"/>
          <w:lang w:val="en-US" w:eastAsia="zh-CN"/>
        </w:rPr>
      </w:pPr>
      <w:r>
        <w:rPr>
          <w:rFonts w:hint="eastAsia" w:ascii="黑体" w:hAnsi="黑体" w:eastAsia="黑体" w:cs="黑体"/>
          <w:b w:val="0"/>
          <w:bCs w:val="0"/>
          <w:sz w:val="32"/>
          <w:szCs w:val="32"/>
          <w:u w:val="none"/>
          <w:lang w:val="en-US" w:eastAsia="zh-CN"/>
        </w:rPr>
        <w:t>2024</w:t>
      </w:r>
      <w:r>
        <w:rPr>
          <w:rFonts w:hint="eastAsia"/>
        </w:rPr>
        <w:t>年度财政拨款</w:t>
      </w:r>
      <w:r>
        <w:rPr>
          <w:rFonts w:hint="eastAsia"/>
          <w:lang w:val="en-US" w:eastAsia="zh-CN"/>
        </w:rPr>
        <w:t>收支总预算</w:t>
      </w:r>
      <w:r>
        <w:rPr>
          <w:rFonts w:hint="eastAsia"/>
          <w:u w:val="single"/>
          <w:lang w:val="en-US" w:eastAsia="zh-CN"/>
        </w:rPr>
        <w:t>9056.22</w:t>
      </w:r>
      <w:r>
        <w:rPr>
          <w:rFonts w:hint="eastAsia"/>
        </w:rPr>
        <w:t>万元</w:t>
      </w:r>
      <w:r>
        <w:rPr>
          <w:rFonts w:hint="eastAsia"/>
          <w:lang w:eastAsia="zh-CN"/>
        </w:rPr>
        <w:t>，</w:t>
      </w:r>
      <w:r>
        <w:rPr>
          <w:rFonts w:hint="eastAsia"/>
          <w:lang w:val="en-US" w:eastAsia="zh-CN"/>
        </w:rPr>
        <w:t>收入全部为一般公共预算拨款（无政府性基金预算及国有资本经营预算拨款）。</w:t>
      </w:r>
    </w:p>
    <w:p w14:paraId="1CF6C464">
      <w:pPr>
        <w:bidi w:val="0"/>
        <w:rPr>
          <w:rFonts w:hint="eastAsia"/>
          <w:lang w:val="en-US" w:eastAsia="zh-CN"/>
        </w:rPr>
      </w:pPr>
      <w:r>
        <w:rPr>
          <w:rFonts w:hint="eastAsia"/>
          <w:lang w:val="en-US" w:eastAsia="zh-CN"/>
        </w:rPr>
        <w:t>支出包括：</w:t>
      </w:r>
      <w:r>
        <w:rPr>
          <w:rFonts w:hint="eastAsia" w:ascii="仿宋_GB2312" w:hAnsi="宋体"/>
          <w:bCs/>
          <w:sz w:val="32"/>
          <w:szCs w:val="32"/>
          <w:highlight w:val="none"/>
          <w:lang w:val="en-US" w:eastAsia="zh-CN"/>
        </w:rPr>
        <w:t>卫生健康支出</w:t>
      </w:r>
      <w:r>
        <w:rPr>
          <w:rFonts w:hint="eastAsia" w:ascii="仿宋_GB2312" w:hAnsi="宋体"/>
          <w:bCs/>
          <w:szCs w:val="32"/>
          <w:highlight w:val="none"/>
          <w:u w:val="single"/>
          <w:lang w:val="en-US" w:eastAsia="zh-CN"/>
        </w:rPr>
        <w:t>9056.22</w:t>
      </w:r>
      <w:r>
        <w:rPr>
          <w:rFonts w:hint="eastAsia" w:ascii="仿宋_GB2312" w:hAnsi="宋体"/>
          <w:bCs/>
          <w:szCs w:val="32"/>
          <w:highlight w:val="none"/>
          <w:lang w:val="en-US" w:eastAsia="zh-CN"/>
        </w:rPr>
        <w:t>万元，占</w:t>
      </w:r>
      <w:r>
        <w:rPr>
          <w:rFonts w:hint="eastAsia" w:ascii="仿宋_GB2312" w:hAnsi="宋体"/>
          <w:bCs/>
          <w:szCs w:val="32"/>
          <w:highlight w:val="none"/>
          <w:u w:val="single"/>
          <w:lang w:val="en-US" w:eastAsia="zh-CN"/>
        </w:rPr>
        <w:t>100</w:t>
      </w:r>
      <w:r>
        <w:rPr>
          <w:rFonts w:hint="eastAsia" w:ascii="仿宋_GB2312" w:hAnsi="宋体"/>
          <w:bCs/>
          <w:szCs w:val="32"/>
          <w:highlight w:val="none"/>
          <w:lang w:val="en-US" w:eastAsia="zh-CN"/>
        </w:rPr>
        <w:t>%。</w:t>
      </w:r>
    </w:p>
    <w:p w14:paraId="2CA13A22">
      <w:pPr>
        <w:numPr>
          <w:ilvl w:val="0"/>
          <w:numId w:val="0"/>
        </w:numPr>
        <w:bidi w:val="0"/>
        <w:ind w:firstLine="643" w:firstLineChars="200"/>
        <w:rPr>
          <w:rFonts w:hint="eastAsia"/>
          <w:b/>
          <w:bCs/>
          <w:lang w:val="en-US" w:eastAsia="zh-CN"/>
        </w:rPr>
      </w:pPr>
      <w:r>
        <w:rPr>
          <w:rFonts w:hint="eastAsia"/>
          <w:b/>
          <w:bCs/>
          <w:lang w:val="en-US" w:eastAsia="zh-CN"/>
        </w:rPr>
        <w:t>（三）一般公共预算支出情况说明</w:t>
      </w:r>
    </w:p>
    <w:p w14:paraId="7B45DB23">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楷体" w:hAnsi="楷体" w:eastAsia="楷体" w:cs="楷体"/>
          <w:bCs/>
          <w:kern w:val="44"/>
          <w:sz w:val="32"/>
          <w:szCs w:val="32"/>
          <w:highlight w:val="none"/>
        </w:rPr>
      </w:pPr>
      <w:r>
        <w:rPr>
          <w:rFonts w:hint="eastAsia"/>
          <w:lang w:val="en-US" w:eastAsia="zh-CN"/>
        </w:rPr>
        <w:t>1、一般公共预算支出规模变化</w:t>
      </w:r>
      <w:r>
        <w:rPr>
          <w:rFonts w:hint="eastAsia" w:ascii="楷体" w:hAnsi="楷体" w:eastAsia="楷体" w:cs="楷体"/>
          <w:bCs/>
          <w:kern w:val="44"/>
          <w:sz w:val="32"/>
          <w:szCs w:val="32"/>
          <w:highlight w:val="none"/>
        </w:rPr>
        <w:t>情况。</w:t>
      </w:r>
    </w:p>
    <w:p w14:paraId="1F52613E">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黑体" w:hAnsi="黑体" w:eastAsia="黑体" w:cs="黑体"/>
          <w:b w:val="0"/>
          <w:bCs w:val="0"/>
          <w:sz w:val="32"/>
          <w:szCs w:val="32"/>
          <w:u w:val="none"/>
          <w:lang w:val="en-US" w:eastAsia="zh-CN"/>
        </w:rPr>
        <w:t>2024</w:t>
      </w:r>
      <w:r>
        <w:rPr>
          <w:rFonts w:hint="eastAsia" w:ascii="仿宋_GB2312" w:eastAsia="仿宋_GB2312"/>
          <w:bCs/>
          <w:kern w:val="44"/>
          <w:sz w:val="32"/>
          <w:szCs w:val="32"/>
          <w:highlight w:val="none"/>
        </w:rPr>
        <w:t>年度</w:t>
      </w:r>
      <w:r>
        <w:rPr>
          <w:rFonts w:hint="eastAsia"/>
          <w:lang w:val="en-US" w:eastAsia="zh-CN"/>
        </w:rPr>
        <w:t>一般公共预算支出</w:t>
      </w:r>
      <w:r>
        <w:rPr>
          <w:rFonts w:hint="eastAsia" w:ascii="仿宋_GB2312"/>
          <w:bCs/>
          <w:kern w:val="44"/>
          <w:sz w:val="32"/>
          <w:szCs w:val="32"/>
          <w:highlight w:val="none"/>
          <w:u w:val="single"/>
          <w:lang w:val="en-US" w:eastAsia="zh-CN"/>
        </w:rPr>
        <w:t>9056.22</w:t>
      </w:r>
      <w:r>
        <w:rPr>
          <w:rFonts w:hint="eastAsia" w:ascii="仿宋_GB2312" w:eastAsia="仿宋_GB2312"/>
          <w:bCs/>
          <w:kern w:val="44"/>
          <w:sz w:val="32"/>
          <w:szCs w:val="32"/>
          <w:highlight w:val="none"/>
        </w:rPr>
        <w:t>万元，与</w:t>
      </w:r>
      <w:r>
        <w:rPr>
          <w:rFonts w:hint="eastAsia" w:ascii="仿宋_GB2312"/>
          <w:bCs/>
          <w:kern w:val="44"/>
          <w:sz w:val="32"/>
          <w:szCs w:val="32"/>
          <w:highlight w:val="none"/>
          <w:lang w:val="en-US" w:eastAsia="zh-CN"/>
        </w:rPr>
        <w:t>上年预算</w:t>
      </w:r>
      <w:r>
        <w:rPr>
          <w:rFonts w:hint="eastAsia" w:ascii="仿宋_GB2312" w:eastAsia="仿宋_GB2312"/>
          <w:bCs/>
          <w:kern w:val="44"/>
          <w:sz w:val="32"/>
          <w:szCs w:val="32"/>
          <w:highlight w:val="none"/>
        </w:rPr>
        <w:t>相比，</w:t>
      </w:r>
      <w:r>
        <w:rPr>
          <w:rFonts w:hint="eastAsia"/>
          <w:lang w:val="en-US" w:eastAsia="zh-CN"/>
        </w:rPr>
        <w:t>一般公共预算支出</w:t>
      </w:r>
      <w:r>
        <w:rPr>
          <w:rFonts w:hint="eastAsia" w:ascii="仿宋_GB2312" w:eastAsia="仿宋_GB2312"/>
          <w:bCs/>
          <w:kern w:val="44"/>
          <w:sz w:val="32"/>
          <w:szCs w:val="32"/>
          <w:highlight w:val="none"/>
        </w:rPr>
        <w:t>增加</w:t>
      </w:r>
      <w:r>
        <w:rPr>
          <w:rFonts w:hint="eastAsia" w:ascii="仿宋_GB2312"/>
          <w:bCs/>
          <w:kern w:val="44"/>
          <w:sz w:val="32"/>
          <w:szCs w:val="32"/>
          <w:highlight w:val="none"/>
          <w:lang w:val="en-US" w:eastAsia="zh-CN"/>
        </w:rPr>
        <w:t>2996.77</w:t>
      </w:r>
      <w:r>
        <w:rPr>
          <w:rFonts w:hint="eastAsia" w:ascii="仿宋_GB2312" w:eastAsia="仿宋_GB2312"/>
          <w:bCs/>
          <w:kern w:val="44"/>
          <w:sz w:val="32"/>
          <w:szCs w:val="32"/>
          <w:highlight w:val="none"/>
        </w:rPr>
        <w:t>万元，增长</w:t>
      </w:r>
      <w:r>
        <w:rPr>
          <w:rFonts w:hint="eastAsia" w:ascii="仿宋_GB2312"/>
          <w:bCs/>
          <w:kern w:val="44"/>
          <w:sz w:val="32"/>
          <w:szCs w:val="32"/>
          <w:highlight w:val="none"/>
          <w:lang w:val="en-US" w:eastAsia="zh-CN"/>
        </w:rPr>
        <w:t>49.46</w:t>
      </w:r>
      <w:r>
        <w:rPr>
          <w:rFonts w:hint="eastAsia" w:ascii="仿宋_GB2312" w:eastAsia="仿宋_GB2312"/>
          <w:bCs/>
          <w:kern w:val="44"/>
          <w:sz w:val="32"/>
          <w:szCs w:val="32"/>
          <w:highlight w:val="none"/>
        </w:rPr>
        <w:t>%。主要原因</w:t>
      </w:r>
      <w:r>
        <w:rPr>
          <w:rFonts w:hint="eastAsia" w:ascii="仿宋_GB2312"/>
          <w:bCs/>
          <w:kern w:val="44"/>
          <w:sz w:val="32"/>
          <w:szCs w:val="32"/>
          <w:highlight w:val="none"/>
          <w:lang w:eastAsia="zh-CN"/>
        </w:rPr>
        <w:t>：</w:t>
      </w:r>
      <w:r>
        <w:rPr>
          <w:rFonts w:hint="eastAsia" w:ascii="仿宋_GB2312"/>
          <w:bCs/>
          <w:kern w:val="44"/>
          <w:sz w:val="32"/>
          <w:szCs w:val="32"/>
          <w:highlight w:val="none"/>
          <w:lang w:val="en-US" w:eastAsia="zh-CN"/>
        </w:rPr>
        <w:t>本年项目增加</w:t>
      </w:r>
      <w:r>
        <w:rPr>
          <w:rFonts w:hint="eastAsia" w:ascii="仿宋_GB2312" w:eastAsia="仿宋_GB2312"/>
          <w:bCs/>
          <w:kern w:val="44"/>
          <w:sz w:val="32"/>
          <w:szCs w:val="32"/>
          <w:highlight w:val="none"/>
        </w:rPr>
        <w:t>。</w:t>
      </w:r>
    </w:p>
    <w:p w14:paraId="71B60AAB">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楷体" w:hAnsi="楷体" w:eastAsia="楷体" w:cs="楷体"/>
          <w:bCs/>
          <w:kern w:val="44"/>
          <w:sz w:val="32"/>
          <w:szCs w:val="32"/>
          <w:highlight w:val="none"/>
        </w:rPr>
      </w:pPr>
      <w:r>
        <w:rPr>
          <w:rFonts w:hint="eastAsia"/>
          <w:lang w:val="en-US" w:eastAsia="zh-CN"/>
        </w:rPr>
        <w:t>2、一般公共预算支出</w:t>
      </w:r>
      <w:r>
        <w:rPr>
          <w:rFonts w:hint="eastAsia" w:ascii="楷体" w:hAnsi="楷体" w:eastAsia="楷体" w:cs="楷体"/>
          <w:bCs/>
          <w:kern w:val="44"/>
          <w:sz w:val="32"/>
          <w:szCs w:val="32"/>
          <w:highlight w:val="none"/>
        </w:rPr>
        <w:t>结构情况。</w:t>
      </w:r>
    </w:p>
    <w:p w14:paraId="01567E5D">
      <w:pPr>
        <w:pageBreakBefore w:val="0"/>
        <w:widowControl w:val="0"/>
        <w:numPr>
          <w:ilvl w:val="0"/>
          <w:numId w:val="0"/>
        </w:numPr>
        <w:kinsoku/>
        <w:wordWrap/>
        <w:overflowPunct/>
        <w:topLinePunct w:val="0"/>
        <w:bidi w:val="0"/>
        <w:adjustRightInd w:val="0"/>
        <w:snapToGrid w:val="0"/>
        <w:spacing w:line="360" w:lineRule="auto"/>
        <w:ind w:firstLine="640" w:firstLineChars="200"/>
        <w:textAlignment w:val="auto"/>
        <w:rPr>
          <w:rFonts w:hint="eastAsia" w:ascii="仿宋_GB2312" w:eastAsia="仿宋_GB2312"/>
          <w:b/>
          <w:bCs w:val="0"/>
          <w:kern w:val="44"/>
          <w:sz w:val="32"/>
          <w:szCs w:val="32"/>
          <w:highlight w:val="none"/>
          <w:lang w:val="en-US" w:eastAsia="zh-CN"/>
        </w:rPr>
      </w:pPr>
      <w:r>
        <w:rPr>
          <w:rFonts w:hint="eastAsia" w:ascii="黑体" w:hAnsi="黑体" w:eastAsia="黑体" w:cs="黑体"/>
          <w:b w:val="0"/>
          <w:bCs w:val="0"/>
          <w:sz w:val="32"/>
          <w:szCs w:val="32"/>
          <w:u w:val="none"/>
          <w:lang w:val="en-US" w:eastAsia="zh-CN"/>
        </w:rPr>
        <w:t>2024</w:t>
      </w:r>
      <w:r>
        <w:rPr>
          <w:rFonts w:hint="eastAsia" w:ascii="仿宋_GB2312" w:eastAsia="仿宋_GB2312"/>
          <w:bCs/>
          <w:kern w:val="44"/>
          <w:sz w:val="32"/>
          <w:szCs w:val="32"/>
          <w:highlight w:val="none"/>
        </w:rPr>
        <w:t>年度</w:t>
      </w:r>
      <w:r>
        <w:rPr>
          <w:rFonts w:hint="eastAsia"/>
          <w:lang w:val="en-US" w:eastAsia="zh-CN"/>
        </w:rPr>
        <w:t>一般公共预算</w:t>
      </w:r>
      <w:r>
        <w:rPr>
          <w:rFonts w:hint="eastAsia" w:ascii="仿宋_GB2312" w:eastAsia="仿宋_GB2312"/>
          <w:bCs/>
          <w:kern w:val="44"/>
          <w:sz w:val="32"/>
          <w:szCs w:val="32"/>
          <w:highlight w:val="none"/>
        </w:rPr>
        <w:t>支出</w:t>
      </w:r>
      <w:r>
        <w:rPr>
          <w:rFonts w:hint="eastAsia" w:ascii="仿宋_GB2312"/>
          <w:bCs/>
          <w:kern w:val="44"/>
          <w:sz w:val="32"/>
          <w:szCs w:val="32"/>
          <w:highlight w:val="none"/>
          <w:u w:val="single"/>
          <w:lang w:val="en-US" w:eastAsia="zh-CN"/>
        </w:rPr>
        <w:t>9056.22</w:t>
      </w:r>
      <w:r>
        <w:rPr>
          <w:rFonts w:hint="eastAsia" w:ascii="仿宋_GB2312" w:eastAsia="仿宋_GB2312"/>
          <w:bCs/>
          <w:kern w:val="44"/>
          <w:sz w:val="32"/>
          <w:szCs w:val="32"/>
          <w:highlight w:val="none"/>
        </w:rPr>
        <w:t>万元，主要用于以下方面：</w:t>
      </w:r>
      <w:r>
        <w:rPr>
          <w:rFonts w:hint="eastAsia" w:ascii="仿宋_GB2312"/>
          <w:bCs/>
          <w:kern w:val="44"/>
          <w:sz w:val="32"/>
          <w:szCs w:val="32"/>
          <w:highlight w:val="none"/>
          <w:lang w:eastAsia="zh-CN"/>
        </w:rPr>
        <w:t>卫生健康</w:t>
      </w:r>
      <w:r>
        <w:rPr>
          <w:rFonts w:hint="eastAsia" w:ascii="仿宋_GB2312" w:eastAsia="仿宋_GB2312"/>
          <w:bCs/>
          <w:kern w:val="44"/>
          <w:sz w:val="32"/>
          <w:szCs w:val="32"/>
          <w:highlight w:val="none"/>
        </w:rPr>
        <w:t>支出</w:t>
      </w:r>
      <w:r>
        <w:rPr>
          <w:rFonts w:hint="eastAsia" w:ascii="仿宋_GB2312"/>
          <w:bCs/>
          <w:kern w:val="44"/>
          <w:sz w:val="32"/>
          <w:szCs w:val="32"/>
          <w:highlight w:val="none"/>
          <w:lang w:eastAsia="zh-CN"/>
        </w:rPr>
        <w:t>（</w:t>
      </w:r>
      <w:r>
        <w:rPr>
          <w:rFonts w:hint="eastAsia" w:ascii="仿宋_GB2312"/>
          <w:bCs/>
          <w:kern w:val="44"/>
          <w:sz w:val="32"/>
          <w:szCs w:val="32"/>
          <w:highlight w:val="none"/>
          <w:lang w:val="en-US" w:eastAsia="zh-CN"/>
        </w:rPr>
        <w:t>类）</w:t>
      </w:r>
      <w:r>
        <w:rPr>
          <w:rFonts w:hint="eastAsia" w:ascii="仿宋_GB2312"/>
          <w:bCs/>
          <w:kern w:val="44"/>
          <w:sz w:val="32"/>
          <w:szCs w:val="32"/>
          <w:highlight w:val="none"/>
          <w:u w:val="single"/>
          <w:lang w:val="en-US" w:eastAsia="zh-CN"/>
        </w:rPr>
        <w:t>9056.22</w:t>
      </w:r>
      <w:r>
        <w:rPr>
          <w:rFonts w:hint="eastAsia" w:ascii="仿宋_GB2312" w:eastAsia="仿宋_GB2312"/>
          <w:bCs/>
          <w:kern w:val="44"/>
          <w:sz w:val="32"/>
          <w:szCs w:val="32"/>
          <w:highlight w:val="none"/>
        </w:rPr>
        <w:t>万元，占</w:t>
      </w:r>
      <w:r>
        <w:rPr>
          <w:rFonts w:hint="eastAsia" w:ascii="仿宋_GB2312"/>
          <w:bCs/>
          <w:kern w:val="44"/>
          <w:sz w:val="32"/>
          <w:szCs w:val="32"/>
          <w:highlight w:val="none"/>
          <w:u w:val="single"/>
          <w:lang w:val="en-US" w:eastAsia="zh-CN"/>
        </w:rPr>
        <w:t>100</w:t>
      </w:r>
      <w:r>
        <w:rPr>
          <w:rFonts w:ascii="仿宋_GB2312" w:eastAsia="仿宋_GB2312"/>
          <w:bCs/>
          <w:kern w:val="44"/>
          <w:sz w:val="32"/>
          <w:szCs w:val="32"/>
          <w:highlight w:val="none"/>
        </w:rPr>
        <w:t>%</w:t>
      </w:r>
      <w:r>
        <w:rPr>
          <w:rFonts w:hint="eastAsia" w:ascii="仿宋_GB2312" w:eastAsia="仿宋_GB2312"/>
          <w:bCs/>
          <w:kern w:val="44"/>
          <w:sz w:val="32"/>
          <w:szCs w:val="32"/>
          <w:highlight w:val="none"/>
        </w:rPr>
        <w:t>。</w:t>
      </w:r>
    </w:p>
    <w:p w14:paraId="60F53359">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楷体" w:hAnsi="楷体" w:eastAsia="楷体" w:cs="楷体"/>
          <w:bCs/>
          <w:kern w:val="44"/>
          <w:sz w:val="32"/>
          <w:szCs w:val="32"/>
          <w:highlight w:val="none"/>
        </w:rPr>
      </w:pPr>
      <w:r>
        <w:rPr>
          <w:rFonts w:hint="eastAsia"/>
          <w:lang w:val="en-US" w:eastAsia="zh-CN"/>
        </w:rPr>
        <w:t>3、一般公共预算支出</w:t>
      </w:r>
      <w:r>
        <w:rPr>
          <w:rFonts w:hint="eastAsia" w:ascii="楷体" w:hAnsi="楷体" w:eastAsia="楷体" w:cs="楷体"/>
          <w:bCs/>
          <w:kern w:val="44"/>
          <w:sz w:val="32"/>
          <w:szCs w:val="32"/>
          <w:highlight w:val="none"/>
        </w:rPr>
        <w:t>具体</w:t>
      </w:r>
      <w:r>
        <w:rPr>
          <w:rFonts w:hint="eastAsia" w:ascii="楷体" w:hAnsi="楷体" w:eastAsia="楷体" w:cs="楷体"/>
          <w:bCs/>
          <w:kern w:val="44"/>
          <w:sz w:val="32"/>
          <w:szCs w:val="32"/>
          <w:highlight w:val="none"/>
          <w:lang w:val="en-US" w:eastAsia="zh-CN"/>
        </w:rPr>
        <w:t>使用</w:t>
      </w:r>
      <w:r>
        <w:rPr>
          <w:rFonts w:hint="eastAsia" w:ascii="楷体" w:hAnsi="楷体" w:eastAsia="楷体" w:cs="楷体"/>
          <w:bCs/>
          <w:kern w:val="44"/>
          <w:sz w:val="32"/>
          <w:szCs w:val="32"/>
          <w:highlight w:val="none"/>
        </w:rPr>
        <w:t>情况。</w:t>
      </w:r>
    </w:p>
    <w:p w14:paraId="425A584C">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yellow"/>
        </w:rPr>
      </w:pPr>
      <w:r>
        <w:rPr>
          <w:rFonts w:hint="eastAsia" w:ascii="楷体" w:hAnsi="楷体" w:eastAsia="楷体" w:cs="楷体"/>
          <w:bCs/>
          <w:kern w:val="44"/>
          <w:sz w:val="32"/>
          <w:szCs w:val="32"/>
          <w:highlight w:val="none"/>
          <w:lang w:eastAsia="zh-CN"/>
        </w:rPr>
        <w:t>（</w:t>
      </w:r>
      <w:r>
        <w:rPr>
          <w:rFonts w:hint="eastAsia" w:ascii="楷体" w:hAnsi="楷体" w:eastAsia="楷体" w:cs="楷体"/>
          <w:bCs/>
          <w:kern w:val="44"/>
          <w:sz w:val="32"/>
          <w:szCs w:val="32"/>
          <w:highlight w:val="none"/>
          <w:lang w:val="en-US" w:eastAsia="zh-CN"/>
        </w:rPr>
        <w:t>1）</w:t>
      </w:r>
      <w:r>
        <w:rPr>
          <w:rFonts w:hint="eastAsia" w:ascii="楷体" w:hAnsi="楷体" w:eastAsia="楷体" w:cs="楷体"/>
          <w:bCs/>
          <w:color w:val="000000"/>
          <w:kern w:val="44"/>
          <w:sz w:val="32"/>
          <w:szCs w:val="32"/>
          <w:highlight w:val="none"/>
          <w:lang w:val="en-US" w:eastAsia="zh-CN" w:bidi="ar-SA"/>
        </w:rPr>
        <w:t>卫生健康支出(类)卫生健康管理事务（款）行政运行（项）</w:t>
      </w:r>
      <w:r>
        <w:rPr>
          <w:rFonts w:hint="eastAsia" w:ascii="黑体" w:hAnsi="黑体" w:eastAsia="黑体" w:cs="黑体"/>
          <w:b w:val="0"/>
          <w:bCs w:val="0"/>
          <w:sz w:val="32"/>
          <w:szCs w:val="32"/>
          <w:u w:val="none"/>
          <w:lang w:val="en-US" w:eastAsia="zh-CN"/>
        </w:rPr>
        <w:t>2024</w:t>
      </w:r>
      <w:r>
        <w:rPr>
          <w:rFonts w:hint="eastAsia" w:ascii="仿宋_GB2312" w:eastAsia="仿宋_GB2312"/>
          <w:bCs/>
          <w:kern w:val="44"/>
          <w:sz w:val="32"/>
          <w:szCs w:val="32"/>
          <w:highlight w:val="none"/>
        </w:rPr>
        <w:t>年</w:t>
      </w:r>
      <w:r>
        <w:rPr>
          <w:rFonts w:hint="eastAsia" w:ascii="仿宋_GB2312"/>
          <w:bCs/>
          <w:kern w:val="44"/>
          <w:sz w:val="32"/>
          <w:szCs w:val="32"/>
          <w:highlight w:val="none"/>
          <w:lang w:val="en-US" w:eastAsia="zh-CN"/>
        </w:rPr>
        <w:t>预算数为</w:t>
      </w:r>
      <w:r>
        <w:rPr>
          <w:rFonts w:hint="eastAsia" w:ascii="仿宋_GB2312"/>
          <w:bCs/>
          <w:kern w:val="44"/>
          <w:sz w:val="32"/>
          <w:szCs w:val="32"/>
          <w:highlight w:val="none"/>
          <w:u w:val="single"/>
          <w:lang w:val="en-US" w:eastAsia="zh-CN"/>
        </w:rPr>
        <w:t>1264.22</w:t>
      </w:r>
      <w:r>
        <w:rPr>
          <w:rFonts w:hint="eastAsia" w:ascii="仿宋_GB2312" w:eastAsia="仿宋_GB2312"/>
          <w:bCs/>
          <w:kern w:val="44"/>
          <w:sz w:val="32"/>
          <w:szCs w:val="32"/>
          <w:highlight w:val="none"/>
        </w:rPr>
        <w:t>万元，</w:t>
      </w:r>
      <w:r>
        <w:rPr>
          <w:rFonts w:hint="eastAsia" w:ascii="仿宋_GB2312"/>
          <w:bCs/>
          <w:kern w:val="44"/>
          <w:sz w:val="32"/>
          <w:szCs w:val="32"/>
          <w:highlight w:val="none"/>
          <w:lang w:val="en-US" w:eastAsia="zh-CN"/>
        </w:rPr>
        <w:t>比上年预算</w:t>
      </w:r>
      <w:r>
        <w:rPr>
          <w:rFonts w:hint="eastAsia" w:ascii="仿宋_GB2312" w:eastAsia="仿宋_GB2312"/>
          <w:bCs/>
          <w:kern w:val="44"/>
          <w:sz w:val="32"/>
          <w:szCs w:val="32"/>
          <w:highlight w:val="none"/>
        </w:rPr>
        <w:t>减少</w:t>
      </w:r>
      <w:r>
        <w:rPr>
          <w:rFonts w:hint="eastAsia" w:ascii="仿宋_GB2312"/>
          <w:bCs/>
          <w:kern w:val="44"/>
          <w:sz w:val="32"/>
          <w:szCs w:val="32"/>
          <w:highlight w:val="none"/>
          <w:lang w:val="en-US" w:eastAsia="zh-CN"/>
        </w:rPr>
        <w:t>52.23</w:t>
      </w:r>
      <w:r>
        <w:rPr>
          <w:rFonts w:hint="eastAsia" w:ascii="仿宋_GB2312" w:eastAsia="仿宋_GB2312"/>
          <w:bCs/>
          <w:kern w:val="44"/>
          <w:sz w:val="32"/>
          <w:szCs w:val="32"/>
          <w:highlight w:val="none"/>
        </w:rPr>
        <w:t>万元，</w:t>
      </w:r>
      <w:r>
        <w:rPr>
          <w:rFonts w:hint="eastAsia" w:ascii="仿宋_GB2312" w:eastAsia="仿宋_GB2312"/>
          <w:bCs/>
          <w:kern w:val="44"/>
          <w:sz w:val="32"/>
          <w:szCs w:val="32"/>
          <w:highlight w:val="none"/>
          <w:lang w:eastAsia="zh-CN"/>
        </w:rPr>
        <w:t>下降</w:t>
      </w:r>
      <w:r>
        <w:rPr>
          <w:rFonts w:hint="eastAsia" w:ascii="仿宋_GB2312"/>
          <w:bCs/>
          <w:kern w:val="44"/>
          <w:sz w:val="32"/>
          <w:szCs w:val="32"/>
          <w:highlight w:val="none"/>
          <w:lang w:val="en-US" w:eastAsia="zh-CN"/>
        </w:rPr>
        <w:t>3.97</w:t>
      </w:r>
      <w:r>
        <w:rPr>
          <w:rFonts w:hint="eastAsia" w:ascii="仿宋_GB2312" w:eastAsia="仿宋_GB2312"/>
          <w:bCs/>
          <w:kern w:val="44"/>
          <w:sz w:val="32"/>
          <w:szCs w:val="32"/>
          <w:highlight w:val="none"/>
        </w:rPr>
        <w:t>%。主要原因是</w:t>
      </w:r>
      <w:r>
        <w:rPr>
          <w:rFonts w:hint="eastAsia"/>
          <w:lang w:val="en-US" w:eastAsia="zh-CN"/>
        </w:rPr>
        <w:t>人员减少</w:t>
      </w:r>
      <w:r>
        <w:rPr>
          <w:rFonts w:hint="eastAsia" w:ascii="仿宋_GB2312" w:eastAsia="仿宋_GB2312"/>
          <w:bCs/>
          <w:kern w:val="44"/>
          <w:sz w:val="32"/>
          <w:szCs w:val="32"/>
          <w:highlight w:val="none"/>
        </w:rPr>
        <w:t>。</w:t>
      </w:r>
    </w:p>
    <w:p w14:paraId="5FA637D6">
      <w:pPr>
        <w:pStyle w:val="5"/>
        <w:pageBreakBefore w:val="0"/>
        <w:widowControl w:val="0"/>
        <w:kinsoku/>
        <w:wordWrap/>
        <w:overflowPunct/>
        <w:topLinePunct w:val="0"/>
        <w:bidi w:val="0"/>
        <w:snapToGrid w:val="0"/>
        <w:spacing w:line="360" w:lineRule="auto"/>
        <w:ind w:firstLine="640" w:firstLineChars="200"/>
        <w:jc w:val="both"/>
        <w:textAlignment w:val="auto"/>
        <w:rPr>
          <w:rFonts w:hint="eastAsia" w:ascii="仿宋_GB2312" w:eastAsia="仿宋_GB2312"/>
          <w:bCs/>
          <w:kern w:val="44"/>
          <w:sz w:val="32"/>
          <w:szCs w:val="32"/>
          <w:highlight w:val="none"/>
        </w:rPr>
      </w:pPr>
      <w:r>
        <w:rPr>
          <w:rFonts w:hint="eastAsia" w:ascii="楷体" w:hAnsi="楷体" w:eastAsia="楷体" w:cs="楷体"/>
          <w:bCs/>
          <w:kern w:val="44"/>
          <w:sz w:val="32"/>
          <w:szCs w:val="32"/>
          <w:highlight w:val="none"/>
          <w:lang w:eastAsia="zh-CN"/>
        </w:rPr>
        <w:t>（</w:t>
      </w:r>
      <w:r>
        <w:rPr>
          <w:rFonts w:hint="eastAsia" w:ascii="楷体" w:hAnsi="楷体" w:eastAsia="楷体" w:cs="楷体"/>
          <w:bCs/>
          <w:kern w:val="44"/>
          <w:sz w:val="32"/>
          <w:szCs w:val="32"/>
          <w:highlight w:val="none"/>
          <w:lang w:val="en-US" w:eastAsia="zh-CN"/>
        </w:rPr>
        <w:t>2）</w:t>
      </w:r>
      <w:r>
        <w:rPr>
          <w:rFonts w:hint="eastAsia" w:ascii="楷体" w:hAnsi="楷体" w:eastAsia="楷体" w:cs="楷体"/>
          <w:bCs/>
          <w:color w:val="000000"/>
          <w:kern w:val="44"/>
          <w:sz w:val="32"/>
          <w:szCs w:val="32"/>
          <w:highlight w:val="none"/>
          <w:lang w:val="en-US" w:eastAsia="zh-CN" w:bidi="ar-SA"/>
        </w:rPr>
        <w:t>卫生健康支出(类)卫生健康管理事务（款）其他卫生健康管理事务支出（项）</w:t>
      </w:r>
      <w:r>
        <w:rPr>
          <w:rFonts w:hint="eastAsia" w:ascii="黑体" w:hAnsi="黑体" w:eastAsia="黑体" w:cs="黑体"/>
          <w:b w:val="0"/>
          <w:bCs w:val="0"/>
          <w:sz w:val="32"/>
          <w:szCs w:val="32"/>
          <w:u w:val="none"/>
          <w:lang w:val="en-US" w:eastAsia="zh-CN"/>
        </w:rPr>
        <w:t>2024</w:t>
      </w:r>
      <w:r>
        <w:rPr>
          <w:rFonts w:hint="eastAsia" w:ascii="仿宋_GB2312" w:eastAsia="仿宋_GB2312"/>
          <w:bCs/>
          <w:kern w:val="44"/>
          <w:sz w:val="32"/>
          <w:szCs w:val="32"/>
          <w:highlight w:val="none"/>
        </w:rPr>
        <w:t>年</w:t>
      </w:r>
      <w:r>
        <w:rPr>
          <w:rFonts w:hint="eastAsia" w:ascii="仿宋_GB2312"/>
          <w:bCs/>
          <w:kern w:val="44"/>
          <w:sz w:val="32"/>
          <w:szCs w:val="32"/>
          <w:highlight w:val="none"/>
          <w:lang w:val="en-US" w:eastAsia="zh-CN"/>
        </w:rPr>
        <w:t>预算数为</w:t>
      </w:r>
      <w:r>
        <w:rPr>
          <w:rFonts w:hint="eastAsia"/>
          <w:bCs/>
          <w:kern w:val="44"/>
          <w:sz w:val="32"/>
          <w:szCs w:val="32"/>
          <w:highlight w:val="none"/>
          <w:u w:val="single"/>
          <w:lang w:val="en-US" w:eastAsia="zh-CN"/>
        </w:rPr>
        <w:t>7692</w:t>
      </w:r>
      <w:r>
        <w:rPr>
          <w:rFonts w:hint="eastAsia" w:ascii="仿宋_GB2312" w:eastAsia="仿宋_GB2312"/>
          <w:bCs/>
          <w:kern w:val="44"/>
          <w:sz w:val="32"/>
          <w:szCs w:val="32"/>
          <w:highlight w:val="none"/>
        </w:rPr>
        <w:t>万元，</w:t>
      </w:r>
      <w:r>
        <w:rPr>
          <w:rFonts w:hint="eastAsia" w:ascii="仿宋_GB2312"/>
          <w:bCs/>
          <w:kern w:val="44"/>
          <w:sz w:val="32"/>
          <w:szCs w:val="32"/>
          <w:highlight w:val="none"/>
          <w:lang w:val="en-US" w:eastAsia="zh-CN"/>
        </w:rPr>
        <w:t>比上</w:t>
      </w:r>
      <w:r>
        <w:rPr>
          <w:rFonts w:hint="eastAsia"/>
          <w:bCs/>
          <w:kern w:val="44"/>
          <w:sz w:val="32"/>
          <w:szCs w:val="32"/>
          <w:highlight w:val="none"/>
          <w:lang w:val="en-US" w:eastAsia="zh-CN"/>
        </w:rPr>
        <w:t>年预算</w:t>
      </w:r>
      <w:r>
        <w:rPr>
          <w:rFonts w:hint="eastAsia" w:ascii="仿宋_GB2312" w:eastAsia="仿宋_GB2312"/>
          <w:bCs/>
          <w:kern w:val="44"/>
          <w:sz w:val="32"/>
          <w:szCs w:val="32"/>
          <w:highlight w:val="none"/>
        </w:rPr>
        <w:t>增加</w:t>
      </w:r>
      <w:r>
        <w:rPr>
          <w:rFonts w:hint="eastAsia"/>
          <w:bCs/>
          <w:kern w:val="44"/>
          <w:sz w:val="32"/>
          <w:szCs w:val="32"/>
          <w:highlight w:val="none"/>
          <w:lang w:val="en-US" w:eastAsia="zh-CN"/>
        </w:rPr>
        <w:t>3249</w:t>
      </w:r>
      <w:r>
        <w:rPr>
          <w:rFonts w:hint="eastAsia" w:ascii="仿宋_GB2312" w:eastAsia="仿宋_GB2312"/>
          <w:bCs/>
          <w:kern w:val="44"/>
          <w:sz w:val="32"/>
          <w:szCs w:val="32"/>
          <w:highlight w:val="none"/>
        </w:rPr>
        <w:t>万元，增长</w:t>
      </w:r>
      <w:r>
        <w:rPr>
          <w:rFonts w:hint="eastAsia"/>
          <w:bCs/>
          <w:kern w:val="44"/>
          <w:sz w:val="32"/>
          <w:szCs w:val="32"/>
          <w:highlight w:val="none"/>
          <w:lang w:val="en-US" w:eastAsia="zh-CN"/>
        </w:rPr>
        <w:t>73.13</w:t>
      </w:r>
      <w:r>
        <w:rPr>
          <w:rFonts w:hint="eastAsia" w:ascii="仿宋_GB2312" w:eastAsia="仿宋_GB2312"/>
          <w:bCs/>
          <w:kern w:val="44"/>
          <w:sz w:val="32"/>
          <w:szCs w:val="32"/>
          <w:highlight w:val="none"/>
        </w:rPr>
        <w:t>%。主要原因是</w:t>
      </w:r>
      <w:r>
        <w:rPr>
          <w:rFonts w:hint="eastAsia" w:ascii="仿宋_GB2312"/>
          <w:bCs/>
          <w:kern w:val="44"/>
          <w:sz w:val="32"/>
          <w:szCs w:val="32"/>
          <w:highlight w:val="none"/>
          <w:lang w:val="en-US" w:eastAsia="zh-CN"/>
        </w:rPr>
        <w:t>本年新增公立医院改革补助经费3200万元、重点专科建设发展经费300万元，减少免费无创产前基因检测经费和生育托育奖励经费448万元等</w:t>
      </w:r>
      <w:r>
        <w:rPr>
          <w:rFonts w:hint="eastAsia" w:ascii="仿宋_GB2312" w:eastAsia="仿宋_GB2312"/>
          <w:bCs/>
          <w:kern w:val="44"/>
          <w:sz w:val="32"/>
          <w:szCs w:val="32"/>
          <w:highlight w:val="none"/>
        </w:rPr>
        <w:t>。</w:t>
      </w:r>
    </w:p>
    <w:p w14:paraId="1DE51F8B">
      <w:pPr>
        <w:pStyle w:val="5"/>
        <w:pageBreakBefore w:val="0"/>
        <w:widowControl w:val="0"/>
        <w:kinsoku/>
        <w:wordWrap/>
        <w:overflowPunct/>
        <w:topLinePunct w:val="0"/>
        <w:bidi w:val="0"/>
        <w:snapToGrid w:val="0"/>
        <w:spacing w:line="360" w:lineRule="auto"/>
        <w:ind w:firstLine="640" w:firstLineChars="200"/>
        <w:jc w:val="both"/>
        <w:textAlignment w:val="auto"/>
        <w:rPr>
          <w:rFonts w:hint="default"/>
          <w:lang w:val="en-US" w:eastAsia="zh-CN"/>
        </w:rPr>
      </w:pPr>
      <w:r>
        <w:rPr>
          <w:rFonts w:hint="eastAsia" w:ascii="楷体" w:hAnsi="楷体" w:eastAsia="楷体" w:cs="楷体"/>
          <w:bCs/>
          <w:color w:val="auto"/>
          <w:kern w:val="44"/>
          <w:sz w:val="32"/>
          <w:szCs w:val="32"/>
          <w:highlight w:val="none"/>
          <w:lang w:eastAsia="zh-CN"/>
        </w:rPr>
        <w:t>（</w:t>
      </w:r>
      <w:r>
        <w:rPr>
          <w:rFonts w:hint="eastAsia" w:ascii="楷体" w:hAnsi="楷体" w:eastAsia="楷体" w:cs="楷体"/>
          <w:bCs/>
          <w:color w:val="auto"/>
          <w:kern w:val="44"/>
          <w:sz w:val="32"/>
          <w:szCs w:val="32"/>
          <w:highlight w:val="none"/>
          <w:lang w:val="en-US" w:eastAsia="zh-CN"/>
        </w:rPr>
        <w:t>3）</w:t>
      </w:r>
      <w:r>
        <w:rPr>
          <w:rFonts w:hint="eastAsia" w:ascii="楷体" w:hAnsi="楷体" w:eastAsia="楷体" w:cs="楷体"/>
          <w:bCs/>
          <w:color w:val="000000"/>
          <w:kern w:val="44"/>
          <w:sz w:val="32"/>
          <w:szCs w:val="32"/>
          <w:highlight w:val="none"/>
          <w:lang w:val="en-US" w:eastAsia="zh-CN" w:bidi="ar-SA"/>
        </w:rPr>
        <w:t>卫生健康支出(类)公共卫生（款）基本公共卫生服务（项）</w:t>
      </w:r>
      <w:r>
        <w:rPr>
          <w:rFonts w:hint="eastAsia"/>
          <w:bCs/>
          <w:kern w:val="44"/>
          <w:sz w:val="32"/>
          <w:szCs w:val="32"/>
          <w:highlight w:val="none"/>
          <w:u w:val="none"/>
          <w:lang w:val="en-US" w:eastAsia="zh-CN"/>
        </w:rPr>
        <w:t>2024年预算数100万元，比上年预算</w:t>
      </w:r>
      <w:r>
        <w:rPr>
          <w:rFonts w:hint="eastAsia" w:ascii="仿宋_GB2312" w:eastAsia="仿宋_GB2312"/>
          <w:bCs/>
          <w:kern w:val="44"/>
          <w:sz w:val="32"/>
          <w:szCs w:val="32"/>
          <w:highlight w:val="none"/>
          <w:u w:val="none"/>
        </w:rPr>
        <w:t>增加</w:t>
      </w:r>
      <w:r>
        <w:rPr>
          <w:rFonts w:hint="eastAsia"/>
          <w:bCs/>
          <w:kern w:val="44"/>
          <w:sz w:val="32"/>
          <w:szCs w:val="32"/>
          <w:highlight w:val="none"/>
          <w:u w:val="none"/>
          <w:lang w:val="en-US" w:eastAsia="zh-CN"/>
        </w:rPr>
        <w:t>0</w:t>
      </w:r>
      <w:r>
        <w:rPr>
          <w:rFonts w:hint="eastAsia" w:ascii="仿宋_GB2312" w:eastAsia="仿宋_GB2312"/>
          <w:bCs/>
          <w:kern w:val="44"/>
          <w:sz w:val="32"/>
          <w:szCs w:val="32"/>
          <w:highlight w:val="none"/>
          <w:u w:val="none"/>
        </w:rPr>
        <w:t>万元，增长</w:t>
      </w:r>
      <w:r>
        <w:rPr>
          <w:rFonts w:hint="eastAsia"/>
          <w:bCs/>
          <w:kern w:val="44"/>
          <w:sz w:val="32"/>
          <w:szCs w:val="32"/>
          <w:highlight w:val="none"/>
          <w:u w:val="none"/>
          <w:lang w:val="en-US" w:eastAsia="zh-CN"/>
        </w:rPr>
        <w:t>0</w:t>
      </w:r>
      <w:r>
        <w:rPr>
          <w:rFonts w:hint="eastAsia" w:ascii="仿宋_GB2312" w:eastAsia="仿宋_GB2312"/>
          <w:bCs/>
          <w:kern w:val="44"/>
          <w:sz w:val="32"/>
          <w:szCs w:val="32"/>
          <w:highlight w:val="none"/>
          <w:u w:val="none"/>
        </w:rPr>
        <w:t>%</w:t>
      </w:r>
      <w:r>
        <w:rPr>
          <w:rFonts w:hint="eastAsia"/>
          <w:bCs/>
          <w:kern w:val="44"/>
          <w:sz w:val="32"/>
          <w:szCs w:val="32"/>
          <w:highlight w:val="none"/>
          <w:u w:val="none"/>
          <w:lang w:eastAsia="zh-CN"/>
        </w:rPr>
        <w:t>。</w:t>
      </w:r>
      <w:r>
        <w:rPr>
          <w:rFonts w:hint="eastAsia"/>
          <w:bCs/>
          <w:kern w:val="44"/>
          <w:sz w:val="32"/>
          <w:szCs w:val="32"/>
          <w:highlight w:val="none"/>
          <w:u w:val="none"/>
          <w:lang w:val="en-US" w:eastAsia="zh-CN"/>
        </w:rPr>
        <w:t>与上年对比无增减变化，与上年预算持平。</w:t>
      </w:r>
    </w:p>
    <w:p w14:paraId="2053D31E">
      <w:pPr>
        <w:bidi w:val="0"/>
        <w:ind w:firstLine="643" w:firstLineChars="200"/>
        <w:rPr>
          <w:rFonts w:hint="eastAsia"/>
          <w:b/>
          <w:bCs/>
          <w:lang w:val="en-US" w:eastAsia="zh-CN"/>
        </w:rPr>
      </w:pPr>
      <w:r>
        <w:rPr>
          <w:rFonts w:hint="eastAsia"/>
          <w:b/>
          <w:bCs/>
          <w:lang w:val="en-US" w:eastAsia="zh-CN"/>
        </w:rPr>
        <w:t>（四）一般公共预算基本支出情况说明</w:t>
      </w:r>
    </w:p>
    <w:p w14:paraId="468F70F4">
      <w:pPr>
        <w:bidi w:val="0"/>
        <w:ind w:firstLine="640" w:firstLineChars="200"/>
        <w:rPr>
          <w:rFonts w:hint="eastAsia"/>
          <w:lang w:val="en-US" w:eastAsia="zh-CN"/>
        </w:rPr>
      </w:pPr>
      <w:r>
        <w:rPr>
          <w:rFonts w:hint="eastAsia" w:ascii="黑体" w:hAnsi="黑体" w:eastAsia="黑体" w:cs="黑体"/>
          <w:b w:val="0"/>
          <w:bCs w:val="0"/>
          <w:sz w:val="32"/>
          <w:szCs w:val="32"/>
          <w:u w:val="none"/>
          <w:lang w:val="en-US" w:eastAsia="zh-CN"/>
        </w:rPr>
        <w:t>2024</w:t>
      </w:r>
      <w:r>
        <w:rPr>
          <w:rFonts w:hint="eastAsia"/>
          <w:lang w:val="en-US" w:eastAsia="zh-CN"/>
        </w:rPr>
        <w:t>年度一般公共预算基本支出</w:t>
      </w:r>
      <w:r>
        <w:rPr>
          <w:rFonts w:hint="eastAsia"/>
          <w:u w:val="single"/>
          <w:lang w:val="en-US" w:eastAsia="zh-CN"/>
        </w:rPr>
        <w:t>1264.22</w:t>
      </w:r>
      <w:r>
        <w:rPr>
          <w:rFonts w:hint="eastAsia"/>
          <w:lang w:val="en-US" w:eastAsia="zh-CN"/>
        </w:rPr>
        <w:t>万元，其中：</w:t>
      </w:r>
    </w:p>
    <w:p w14:paraId="3191B2F0">
      <w:pPr>
        <w:bidi w:val="0"/>
        <w:ind w:firstLine="640" w:firstLineChars="200"/>
        <w:rPr>
          <w:rFonts w:hint="eastAsia"/>
          <w:lang w:val="en-US" w:eastAsia="zh-CN"/>
        </w:rPr>
      </w:pPr>
      <w:r>
        <w:rPr>
          <w:rFonts w:hint="eastAsia"/>
          <w:lang w:val="en-US" w:eastAsia="zh-CN"/>
        </w:rPr>
        <w:t>人员经费</w:t>
      </w:r>
      <w:r>
        <w:rPr>
          <w:rFonts w:hint="eastAsia"/>
          <w:u w:val="single"/>
          <w:lang w:val="en-US" w:eastAsia="zh-CN"/>
        </w:rPr>
        <w:t>1139.33</w:t>
      </w:r>
      <w:r>
        <w:rPr>
          <w:rFonts w:hint="eastAsia"/>
          <w:lang w:val="en-US" w:eastAsia="zh-CN"/>
        </w:rPr>
        <w:t>万元，主要包括：基本工资</w:t>
      </w:r>
      <w:r>
        <w:rPr>
          <w:rFonts w:hint="eastAsia" w:ascii="仿宋_GB2312"/>
          <w:bCs/>
          <w:kern w:val="44"/>
          <w:sz w:val="32"/>
          <w:szCs w:val="32"/>
          <w:highlight w:val="none"/>
          <w:u w:val="single"/>
          <w:lang w:val="en-US" w:eastAsia="zh-CN"/>
        </w:rPr>
        <w:t>178.3</w:t>
      </w:r>
      <w:r>
        <w:rPr>
          <w:rFonts w:hint="eastAsia" w:ascii="仿宋_GB2312" w:eastAsia="仿宋_GB2312"/>
          <w:bCs/>
          <w:kern w:val="44"/>
          <w:sz w:val="32"/>
          <w:szCs w:val="32"/>
          <w:highlight w:val="none"/>
        </w:rPr>
        <w:t>万元</w:t>
      </w:r>
      <w:r>
        <w:rPr>
          <w:rFonts w:hint="eastAsia"/>
          <w:lang w:val="en-US" w:eastAsia="zh-CN"/>
        </w:rPr>
        <w:t>、津贴补贴</w:t>
      </w:r>
      <w:r>
        <w:rPr>
          <w:rFonts w:hint="eastAsia" w:ascii="仿宋_GB2312"/>
          <w:bCs/>
          <w:kern w:val="44"/>
          <w:sz w:val="32"/>
          <w:szCs w:val="32"/>
          <w:highlight w:val="none"/>
          <w:u w:val="single"/>
          <w:lang w:val="en-US" w:eastAsia="zh-CN"/>
        </w:rPr>
        <w:t>136.01</w:t>
      </w:r>
      <w:r>
        <w:rPr>
          <w:rFonts w:hint="eastAsia" w:ascii="仿宋_GB2312" w:eastAsia="仿宋_GB2312"/>
          <w:bCs/>
          <w:kern w:val="44"/>
          <w:sz w:val="32"/>
          <w:szCs w:val="32"/>
          <w:highlight w:val="none"/>
        </w:rPr>
        <w:t>万元</w:t>
      </w:r>
      <w:r>
        <w:rPr>
          <w:rFonts w:hint="eastAsia"/>
          <w:lang w:val="en-US" w:eastAsia="zh-CN"/>
        </w:rPr>
        <w:t>、奖金</w:t>
      </w:r>
      <w:r>
        <w:rPr>
          <w:rFonts w:hint="eastAsia" w:ascii="仿宋_GB2312"/>
          <w:bCs/>
          <w:kern w:val="44"/>
          <w:sz w:val="32"/>
          <w:szCs w:val="32"/>
          <w:highlight w:val="none"/>
          <w:u w:val="single"/>
          <w:lang w:val="en-US" w:eastAsia="zh-CN"/>
        </w:rPr>
        <w:t>241.83</w:t>
      </w:r>
      <w:r>
        <w:rPr>
          <w:rFonts w:hint="eastAsia" w:ascii="仿宋_GB2312" w:eastAsia="仿宋_GB2312"/>
          <w:bCs/>
          <w:kern w:val="44"/>
          <w:sz w:val="32"/>
          <w:szCs w:val="32"/>
          <w:highlight w:val="none"/>
        </w:rPr>
        <w:t>万元</w:t>
      </w:r>
      <w:r>
        <w:rPr>
          <w:rFonts w:hint="eastAsia"/>
          <w:lang w:val="en-US" w:eastAsia="zh-CN"/>
        </w:rPr>
        <w:t>、绩效工资</w:t>
      </w:r>
      <w:r>
        <w:rPr>
          <w:rFonts w:hint="eastAsia" w:ascii="仿宋_GB2312"/>
          <w:bCs/>
          <w:kern w:val="44"/>
          <w:sz w:val="32"/>
          <w:szCs w:val="32"/>
          <w:highlight w:val="none"/>
          <w:u w:val="single"/>
          <w:lang w:val="en-US" w:eastAsia="zh-CN"/>
        </w:rPr>
        <w:t>9.43</w:t>
      </w:r>
      <w:r>
        <w:rPr>
          <w:rFonts w:hint="eastAsia" w:ascii="仿宋_GB2312" w:eastAsia="仿宋_GB2312"/>
          <w:bCs/>
          <w:kern w:val="44"/>
          <w:sz w:val="32"/>
          <w:szCs w:val="32"/>
          <w:highlight w:val="none"/>
        </w:rPr>
        <w:t>万元</w:t>
      </w:r>
      <w:r>
        <w:rPr>
          <w:rFonts w:hint="eastAsia"/>
          <w:lang w:val="en-US" w:eastAsia="zh-CN"/>
        </w:rPr>
        <w:t>、机关事业单位基本养老保险缴费</w:t>
      </w:r>
      <w:r>
        <w:rPr>
          <w:rFonts w:hint="eastAsia" w:ascii="仿宋_GB2312"/>
          <w:bCs/>
          <w:kern w:val="44"/>
          <w:sz w:val="32"/>
          <w:szCs w:val="32"/>
          <w:highlight w:val="none"/>
          <w:u w:val="single"/>
          <w:lang w:val="en-US" w:eastAsia="zh-CN"/>
        </w:rPr>
        <w:t>72.41</w:t>
      </w:r>
      <w:r>
        <w:rPr>
          <w:rFonts w:hint="eastAsia" w:ascii="仿宋_GB2312" w:eastAsia="仿宋_GB2312"/>
          <w:bCs/>
          <w:kern w:val="44"/>
          <w:sz w:val="32"/>
          <w:szCs w:val="32"/>
          <w:highlight w:val="none"/>
        </w:rPr>
        <w:t>万元</w:t>
      </w:r>
      <w:r>
        <w:rPr>
          <w:rFonts w:hint="eastAsia"/>
          <w:lang w:val="en-US" w:eastAsia="zh-CN"/>
        </w:rPr>
        <w:t>、职业年金缴费</w:t>
      </w:r>
      <w:r>
        <w:rPr>
          <w:rFonts w:hint="eastAsia" w:ascii="仿宋_GB2312"/>
          <w:bCs/>
          <w:kern w:val="44"/>
          <w:sz w:val="32"/>
          <w:szCs w:val="32"/>
          <w:highlight w:val="none"/>
          <w:u w:val="single"/>
          <w:lang w:val="en-US" w:eastAsia="zh-CN"/>
        </w:rPr>
        <w:t>36.2</w:t>
      </w:r>
      <w:r>
        <w:rPr>
          <w:rFonts w:hint="eastAsia" w:ascii="仿宋_GB2312" w:eastAsia="仿宋_GB2312"/>
          <w:bCs/>
          <w:kern w:val="44"/>
          <w:sz w:val="32"/>
          <w:szCs w:val="32"/>
          <w:highlight w:val="none"/>
        </w:rPr>
        <w:t>万元</w:t>
      </w:r>
      <w:r>
        <w:rPr>
          <w:rFonts w:hint="eastAsia"/>
          <w:lang w:val="en-US" w:eastAsia="zh-CN"/>
        </w:rPr>
        <w:t>、职工基本医疗保险缴费</w:t>
      </w:r>
      <w:r>
        <w:rPr>
          <w:rFonts w:hint="eastAsia" w:ascii="仿宋_GB2312"/>
          <w:bCs/>
          <w:kern w:val="44"/>
          <w:sz w:val="32"/>
          <w:szCs w:val="32"/>
          <w:highlight w:val="none"/>
          <w:u w:val="single"/>
          <w:lang w:val="en-US" w:eastAsia="zh-CN"/>
        </w:rPr>
        <w:t>79.5</w:t>
      </w:r>
      <w:r>
        <w:rPr>
          <w:rFonts w:hint="eastAsia" w:ascii="仿宋_GB2312" w:eastAsia="仿宋_GB2312"/>
          <w:bCs/>
          <w:kern w:val="44"/>
          <w:sz w:val="32"/>
          <w:szCs w:val="32"/>
          <w:highlight w:val="none"/>
        </w:rPr>
        <w:t>万元</w:t>
      </w:r>
      <w:r>
        <w:rPr>
          <w:rFonts w:hint="eastAsia"/>
          <w:lang w:val="en-US" w:eastAsia="zh-CN"/>
        </w:rPr>
        <w:t>、其他社会保障缴费</w:t>
      </w:r>
      <w:r>
        <w:rPr>
          <w:rFonts w:hint="eastAsia" w:ascii="仿宋_GB2312"/>
          <w:bCs/>
          <w:kern w:val="44"/>
          <w:sz w:val="32"/>
          <w:szCs w:val="32"/>
          <w:highlight w:val="none"/>
          <w:u w:val="single"/>
          <w:lang w:val="en-US" w:eastAsia="zh-CN"/>
        </w:rPr>
        <w:t>1.18</w:t>
      </w:r>
      <w:r>
        <w:rPr>
          <w:rFonts w:hint="eastAsia" w:ascii="仿宋_GB2312" w:eastAsia="仿宋_GB2312"/>
          <w:bCs/>
          <w:kern w:val="44"/>
          <w:sz w:val="32"/>
          <w:szCs w:val="32"/>
          <w:highlight w:val="none"/>
        </w:rPr>
        <w:t>万元</w:t>
      </w:r>
      <w:r>
        <w:rPr>
          <w:rFonts w:hint="eastAsia"/>
          <w:lang w:val="en-US" w:eastAsia="zh-CN"/>
        </w:rPr>
        <w:t>、住房公积金</w:t>
      </w:r>
      <w:r>
        <w:rPr>
          <w:rFonts w:hint="eastAsia" w:ascii="仿宋_GB2312"/>
          <w:bCs/>
          <w:kern w:val="44"/>
          <w:sz w:val="32"/>
          <w:szCs w:val="32"/>
          <w:highlight w:val="none"/>
          <w:u w:val="single"/>
          <w:lang w:val="en-US" w:eastAsia="zh-CN"/>
        </w:rPr>
        <w:t>70.67</w:t>
      </w:r>
      <w:r>
        <w:rPr>
          <w:rFonts w:hint="eastAsia" w:ascii="仿宋_GB2312" w:eastAsia="仿宋_GB2312"/>
          <w:bCs/>
          <w:kern w:val="44"/>
          <w:sz w:val="32"/>
          <w:szCs w:val="32"/>
          <w:highlight w:val="none"/>
        </w:rPr>
        <w:t>万元</w:t>
      </w:r>
      <w:r>
        <w:rPr>
          <w:rFonts w:hint="eastAsia"/>
          <w:lang w:val="en-US" w:eastAsia="zh-CN"/>
        </w:rPr>
        <w:t>、其他工资福利支出</w:t>
      </w:r>
      <w:r>
        <w:rPr>
          <w:rFonts w:hint="eastAsia" w:ascii="仿宋_GB2312"/>
          <w:bCs/>
          <w:kern w:val="44"/>
          <w:sz w:val="32"/>
          <w:szCs w:val="32"/>
          <w:highlight w:val="none"/>
          <w:u w:val="single"/>
          <w:lang w:val="en-US" w:eastAsia="zh-CN"/>
        </w:rPr>
        <w:t>14</w:t>
      </w:r>
      <w:r>
        <w:rPr>
          <w:rFonts w:hint="eastAsia" w:ascii="仿宋_GB2312" w:eastAsia="仿宋_GB2312"/>
          <w:bCs/>
          <w:kern w:val="44"/>
          <w:sz w:val="32"/>
          <w:szCs w:val="32"/>
          <w:highlight w:val="none"/>
        </w:rPr>
        <w:t>万元</w:t>
      </w:r>
      <w:r>
        <w:rPr>
          <w:rFonts w:hint="eastAsia"/>
          <w:lang w:val="en-US" w:eastAsia="zh-CN"/>
        </w:rPr>
        <w:t>、离休费</w:t>
      </w:r>
      <w:r>
        <w:rPr>
          <w:rFonts w:hint="eastAsia" w:ascii="仿宋_GB2312"/>
          <w:bCs/>
          <w:kern w:val="44"/>
          <w:sz w:val="32"/>
          <w:szCs w:val="32"/>
          <w:highlight w:val="none"/>
          <w:u w:val="single"/>
          <w:lang w:val="en-US" w:eastAsia="zh-CN"/>
        </w:rPr>
        <w:t>16.8</w:t>
      </w:r>
      <w:r>
        <w:rPr>
          <w:rFonts w:hint="eastAsia" w:ascii="仿宋_GB2312" w:eastAsia="仿宋_GB2312"/>
          <w:bCs/>
          <w:kern w:val="44"/>
          <w:sz w:val="32"/>
          <w:szCs w:val="32"/>
          <w:highlight w:val="none"/>
        </w:rPr>
        <w:t>万元</w:t>
      </w:r>
      <w:r>
        <w:rPr>
          <w:rFonts w:hint="eastAsia"/>
          <w:lang w:val="en-US" w:eastAsia="zh-CN"/>
        </w:rPr>
        <w:t>、退休费</w:t>
      </w:r>
      <w:r>
        <w:rPr>
          <w:rFonts w:hint="eastAsia" w:ascii="仿宋_GB2312"/>
          <w:bCs/>
          <w:kern w:val="44"/>
          <w:sz w:val="32"/>
          <w:szCs w:val="32"/>
          <w:highlight w:val="none"/>
          <w:u w:val="single"/>
          <w:lang w:val="en-US" w:eastAsia="zh-CN"/>
        </w:rPr>
        <w:t>246.83</w:t>
      </w:r>
      <w:r>
        <w:rPr>
          <w:rFonts w:hint="eastAsia" w:ascii="仿宋_GB2312" w:eastAsia="仿宋_GB2312"/>
          <w:bCs/>
          <w:kern w:val="44"/>
          <w:sz w:val="32"/>
          <w:szCs w:val="32"/>
          <w:highlight w:val="none"/>
        </w:rPr>
        <w:t>万元</w:t>
      </w:r>
      <w:r>
        <w:rPr>
          <w:rFonts w:hint="eastAsia"/>
          <w:lang w:val="en-US" w:eastAsia="zh-CN"/>
        </w:rPr>
        <w:t>、医疗费补助</w:t>
      </w:r>
      <w:r>
        <w:rPr>
          <w:rFonts w:hint="eastAsia" w:ascii="仿宋_GB2312"/>
          <w:bCs/>
          <w:kern w:val="44"/>
          <w:sz w:val="32"/>
          <w:szCs w:val="32"/>
          <w:highlight w:val="none"/>
          <w:u w:val="single"/>
          <w:lang w:val="en-US" w:eastAsia="zh-CN"/>
        </w:rPr>
        <w:t>36.17</w:t>
      </w:r>
      <w:r>
        <w:rPr>
          <w:rFonts w:hint="eastAsia" w:ascii="仿宋_GB2312" w:eastAsia="仿宋_GB2312"/>
          <w:bCs/>
          <w:kern w:val="44"/>
          <w:sz w:val="32"/>
          <w:szCs w:val="32"/>
          <w:highlight w:val="none"/>
        </w:rPr>
        <w:t>万元</w:t>
      </w:r>
      <w:r>
        <w:rPr>
          <w:rFonts w:hint="eastAsia"/>
          <w:lang w:val="en-US" w:eastAsia="zh-CN"/>
        </w:rPr>
        <w:t>；</w:t>
      </w:r>
    </w:p>
    <w:p w14:paraId="4820E063">
      <w:pPr>
        <w:bidi w:val="0"/>
        <w:ind w:firstLine="640" w:firstLineChars="200"/>
        <w:rPr>
          <w:rFonts w:hint="eastAsia"/>
          <w:lang w:val="en-US" w:eastAsia="zh-CN"/>
        </w:rPr>
      </w:pPr>
      <w:r>
        <w:rPr>
          <w:rFonts w:hint="eastAsia"/>
          <w:lang w:val="en-US" w:eastAsia="zh-CN"/>
        </w:rPr>
        <w:t>公用经费</w:t>
      </w:r>
      <w:r>
        <w:rPr>
          <w:rFonts w:hint="eastAsia"/>
          <w:u w:val="single"/>
          <w:lang w:val="en-US" w:eastAsia="zh-CN"/>
        </w:rPr>
        <w:t>124.89</w:t>
      </w:r>
      <w:r>
        <w:rPr>
          <w:rFonts w:hint="eastAsia"/>
          <w:lang w:val="en-US" w:eastAsia="zh-CN"/>
        </w:rPr>
        <w:t>万元，主要包括：办公费</w:t>
      </w:r>
      <w:r>
        <w:rPr>
          <w:rFonts w:hint="eastAsia" w:ascii="仿宋_GB2312"/>
          <w:bCs/>
          <w:kern w:val="44"/>
          <w:sz w:val="32"/>
          <w:szCs w:val="32"/>
          <w:highlight w:val="none"/>
          <w:u w:val="single"/>
          <w:lang w:val="en-US" w:eastAsia="zh-CN"/>
        </w:rPr>
        <w:t>29.8</w:t>
      </w:r>
      <w:r>
        <w:rPr>
          <w:rFonts w:hint="eastAsia" w:ascii="仿宋_GB2312" w:eastAsia="仿宋_GB2312"/>
          <w:bCs/>
          <w:kern w:val="44"/>
          <w:sz w:val="32"/>
          <w:szCs w:val="32"/>
          <w:highlight w:val="none"/>
        </w:rPr>
        <w:t>万元</w:t>
      </w:r>
      <w:r>
        <w:rPr>
          <w:rFonts w:hint="eastAsia"/>
          <w:lang w:val="en-US" w:eastAsia="zh-CN"/>
        </w:rPr>
        <w:t>、公务接待费</w:t>
      </w:r>
      <w:r>
        <w:rPr>
          <w:rFonts w:hint="eastAsia" w:ascii="仿宋_GB2312"/>
          <w:bCs/>
          <w:kern w:val="44"/>
          <w:sz w:val="32"/>
          <w:szCs w:val="32"/>
          <w:highlight w:val="none"/>
          <w:u w:val="single"/>
          <w:lang w:val="en-US" w:eastAsia="zh-CN"/>
        </w:rPr>
        <w:t>1.5</w:t>
      </w:r>
      <w:r>
        <w:rPr>
          <w:rFonts w:hint="eastAsia" w:ascii="仿宋_GB2312" w:eastAsia="仿宋_GB2312"/>
          <w:bCs/>
          <w:kern w:val="44"/>
          <w:sz w:val="32"/>
          <w:szCs w:val="32"/>
          <w:highlight w:val="none"/>
        </w:rPr>
        <w:t>万元</w:t>
      </w:r>
      <w:r>
        <w:rPr>
          <w:rFonts w:hint="eastAsia"/>
          <w:lang w:val="en-US" w:eastAsia="zh-CN"/>
        </w:rPr>
        <w:t>、劳务费</w:t>
      </w:r>
      <w:r>
        <w:rPr>
          <w:rFonts w:hint="eastAsia" w:ascii="仿宋_GB2312"/>
          <w:bCs/>
          <w:kern w:val="44"/>
          <w:sz w:val="32"/>
          <w:szCs w:val="32"/>
          <w:highlight w:val="none"/>
          <w:u w:val="single"/>
          <w:lang w:val="en-US" w:eastAsia="zh-CN"/>
        </w:rPr>
        <w:t>20</w:t>
      </w:r>
      <w:r>
        <w:rPr>
          <w:rFonts w:hint="eastAsia" w:ascii="仿宋_GB2312" w:eastAsia="仿宋_GB2312"/>
          <w:bCs/>
          <w:kern w:val="44"/>
          <w:sz w:val="32"/>
          <w:szCs w:val="32"/>
          <w:highlight w:val="none"/>
        </w:rPr>
        <w:t>万元</w:t>
      </w:r>
      <w:r>
        <w:rPr>
          <w:rFonts w:hint="eastAsia"/>
          <w:lang w:val="en-US" w:eastAsia="zh-CN"/>
        </w:rPr>
        <w:t>、工会经费</w:t>
      </w:r>
      <w:r>
        <w:rPr>
          <w:rFonts w:hint="eastAsia" w:ascii="仿宋_GB2312"/>
          <w:bCs/>
          <w:kern w:val="44"/>
          <w:sz w:val="32"/>
          <w:szCs w:val="32"/>
          <w:highlight w:val="none"/>
          <w:u w:val="single"/>
          <w:lang w:val="en-US" w:eastAsia="zh-CN"/>
        </w:rPr>
        <w:t>11.78</w:t>
      </w:r>
      <w:r>
        <w:rPr>
          <w:rFonts w:hint="eastAsia" w:ascii="仿宋_GB2312" w:eastAsia="仿宋_GB2312"/>
          <w:bCs/>
          <w:kern w:val="44"/>
          <w:sz w:val="32"/>
          <w:szCs w:val="32"/>
          <w:highlight w:val="none"/>
        </w:rPr>
        <w:t>万元</w:t>
      </w:r>
      <w:r>
        <w:rPr>
          <w:rFonts w:hint="eastAsia"/>
          <w:lang w:val="en-US" w:eastAsia="zh-CN"/>
        </w:rPr>
        <w:t>、福利费</w:t>
      </w:r>
      <w:r>
        <w:rPr>
          <w:rFonts w:hint="eastAsia" w:ascii="仿宋_GB2312"/>
          <w:bCs/>
          <w:kern w:val="44"/>
          <w:sz w:val="32"/>
          <w:szCs w:val="32"/>
          <w:highlight w:val="none"/>
          <w:u w:val="single"/>
          <w:lang w:val="en-US" w:eastAsia="zh-CN"/>
        </w:rPr>
        <w:t>14.72</w:t>
      </w:r>
      <w:r>
        <w:rPr>
          <w:rFonts w:hint="eastAsia" w:ascii="仿宋_GB2312" w:eastAsia="仿宋_GB2312"/>
          <w:bCs/>
          <w:kern w:val="44"/>
          <w:sz w:val="32"/>
          <w:szCs w:val="32"/>
          <w:highlight w:val="none"/>
        </w:rPr>
        <w:t>万元</w:t>
      </w:r>
      <w:r>
        <w:rPr>
          <w:rFonts w:hint="eastAsia"/>
          <w:lang w:val="en-US" w:eastAsia="zh-CN"/>
        </w:rPr>
        <w:t>、公务用车运行维护费</w:t>
      </w:r>
      <w:r>
        <w:rPr>
          <w:rFonts w:hint="eastAsia" w:ascii="仿宋_GB2312"/>
          <w:bCs/>
          <w:kern w:val="44"/>
          <w:sz w:val="32"/>
          <w:szCs w:val="32"/>
          <w:highlight w:val="none"/>
          <w:u w:val="single"/>
          <w:lang w:val="en-US" w:eastAsia="zh-CN"/>
        </w:rPr>
        <w:t>4</w:t>
      </w:r>
      <w:r>
        <w:rPr>
          <w:rFonts w:hint="eastAsia" w:ascii="仿宋_GB2312" w:eastAsia="仿宋_GB2312"/>
          <w:bCs/>
          <w:kern w:val="44"/>
          <w:sz w:val="32"/>
          <w:szCs w:val="32"/>
          <w:highlight w:val="none"/>
        </w:rPr>
        <w:t>万元</w:t>
      </w:r>
      <w:r>
        <w:rPr>
          <w:rFonts w:hint="eastAsia"/>
          <w:lang w:val="en-US" w:eastAsia="zh-CN"/>
        </w:rPr>
        <w:t>、其他交通费用</w:t>
      </w:r>
      <w:r>
        <w:rPr>
          <w:rFonts w:hint="eastAsia" w:ascii="仿宋_GB2312"/>
          <w:bCs/>
          <w:kern w:val="44"/>
          <w:sz w:val="32"/>
          <w:szCs w:val="32"/>
          <w:highlight w:val="none"/>
          <w:u w:val="single"/>
          <w:lang w:val="en-US" w:eastAsia="zh-CN"/>
        </w:rPr>
        <w:t>28.86</w:t>
      </w:r>
      <w:r>
        <w:rPr>
          <w:rFonts w:hint="eastAsia" w:ascii="仿宋_GB2312" w:eastAsia="仿宋_GB2312"/>
          <w:bCs/>
          <w:kern w:val="44"/>
          <w:sz w:val="32"/>
          <w:szCs w:val="32"/>
          <w:highlight w:val="none"/>
        </w:rPr>
        <w:t>万元</w:t>
      </w:r>
      <w:r>
        <w:rPr>
          <w:rFonts w:hint="eastAsia"/>
          <w:lang w:val="en-US" w:eastAsia="zh-CN"/>
        </w:rPr>
        <w:t>、其他商品和服务支出</w:t>
      </w:r>
      <w:r>
        <w:rPr>
          <w:rFonts w:hint="eastAsia" w:ascii="仿宋_GB2312"/>
          <w:bCs/>
          <w:kern w:val="44"/>
          <w:sz w:val="32"/>
          <w:szCs w:val="32"/>
          <w:highlight w:val="none"/>
          <w:u w:val="single"/>
          <w:lang w:val="en-US" w:eastAsia="zh-CN"/>
        </w:rPr>
        <w:t>14.23</w:t>
      </w:r>
      <w:r>
        <w:rPr>
          <w:rFonts w:hint="eastAsia" w:ascii="仿宋_GB2312" w:eastAsia="仿宋_GB2312"/>
          <w:bCs/>
          <w:kern w:val="44"/>
          <w:sz w:val="32"/>
          <w:szCs w:val="32"/>
          <w:highlight w:val="none"/>
        </w:rPr>
        <w:t>万元</w:t>
      </w:r>
      <w:r>
        <w:rPr>
          <w:rFonts w:hint="eastAsia"/>
          <w:lang w:val="en-US" w:eastAsia="zh-CN"/>
        </w:rPr>
        <w:t>。</w:t>
      </w:r>
    </w:p>
    <w:p w14:paraId="7C3A073C">
      <w:pPr>
        <w:numPr>
          <w:ilvl w:val="0"/>
          <w:numId w:val="0"/>
        </w:numPr>
        <w:bidi w:val="0"/>
        <w:ind w:firstLine="643" w:firstLineChars="200"/>
        <w:rPr>
          <w:rFonts w:hint="eastAsia" w:ascii="仿宋_GB2312" w:hAnsi="仿宋_GB2312" w:eastAsia="仿宋_GB2312" w:cs="仿宋_GB2312"/>
          <w:b/>
          <w:bCs/>
          <w:sz w:val="32"/>
          <w:szCs w:val="32"/>
          <w:lang w:val="en-US" w:eastAsia="zh-CN"/>
        </w:rPr>
      </w:pPr>
      <w:r>
        <w:rPr>
          <w:rFonts w:hint="eastAsia"/>
          <w:b/>
          <w:bCs/>
          <w:lang w:val="en-US" w:eastAsia="zh-CN"/>
        </w:rPr>
        <w:t xml:space="preserve">（五）政府性基金预算支出情况说明 </w:t>
      </w:r>
    </w:p>
    <w:p w14:paraId="102C1C7C">
      <w:pPr>
        <w:bidi w:val="0"/>
        <w:ind w:firstLine="640" w:firstLineChars="200"/>
        <w:rPr>
          <w:rFonts w:hint="eastAsia"/>
          <w:lang w:val="en-US" w:eastAsia="zh-CN"/>
        </w:rPr>
      </w:pPr>
      <w:r>
        <w:rPr>
          <w:rFonts w:hint="eastAsia"/>
          <w:lang w:val="en-US" w:eastAsia="zh-CN"/>
        </w:rPr>
        <w:t>2024年本部门预算中没有使用政府性基金预算拨款安排的支出，故无此项预算，与上年对比无增减变化，与上年预算持平。</w:t>
      </w:r>
    </w:p>
    <w:p w14:paraId="785329E1">
      <w:pPr>
        <w:numPr>
          <w:ilvl w:val="0"/>
          <w:numId w:val="0"/>
        </w:numPr>
        <w:bidi w:val="0"/>
        <w:ind w:firstLine="643" w:firstLineChars="200"/>
        <w:rPr>
          <w:rFonts w:hint="eastAsia"/>
          <w:b/>
          <w:bCs/>
          <w:lang w:val="en-US" w:eastAsia="zh-CN"/>
        </w:rPr>
      </w:pPr>
      <w:r>
        <w:rPr>
          <w:rFonts w:hint="eastAsia"/>
          <w:b/>
          <w:bCs/>
          <w:lang w:val="en-US" w:eastAsia="zh-CN"/>
        </w:rPr>
        <w:t>（六）国有资本经营预算支出情况说明</w:t>
      </w:r>
    </w:p>
    <w:p w14:paraId="016871EE">
      <w:pPr>
        <w:numPr>
          <w:ilvl w:val="0"/>
          <w:numId w:val="0"/>
        </w:numPr>
        <w:ind w:firstLine="640" w:firstLineChars="200"/>
        <w:jc w:val="both"/>
        <w:rPr>
          <w:rFonts w:hint="eastAsia"/>
          <w:b/>
          <w:bCs/>
          <w:color w:val="FF0000"/>
          <w:lang w:val="en-US" w:eastAsia="zh-CN"/>
        </w:rPr>
      </w:pPr>
      <w:r>
        <w:rPr>
          <w:rFonts w:hint="eastAsia"/>
          <w:lang w:val="en-US" w:eastAsia="zh-CN"/>
        </w:rPr>
        <w:t>2024</w:t>
      </w:r>
      <w:r>
        <w:rPr>
          <w:rFonts w:hint="eastAsia" w:ascii="仿宋_GB2312" w:hAnsi="仿宋_GB2312" w:cs="仿宋_GB2312"/>
          <w:sz w:val="32"/>
          <w:szCs w:val="32"/>
          <w:lang w:val="en-US" w:eastAsia="zh-CN"/>
        </w:rPr>
        <w:t>年本部门预算中没有使用国有资本经营预算拨款安排的支出，故无此项预算，与上年对比无增减变化，与上年预算持平。</w:t>
      </w:r>
    </w:p>
    <w:p w14:paraId="652DDCD4">
      <w:pPr>
        <w:numPr>
          <w:ilvl w:val="0"/>
          <w:numId w:val="0"/>
        </w:numPr>
        <w:bidi w:val="0"/>
        <w:ind w:firstLine="643" w:firstLineChars="200"/>
        <w:rPr>
          <w:rFonts w:hint="eastAsia"/>
          <w:b/>
          <w:bCs/>
          <w:lang w:val="en-US" w:eastAsia="zh-CN"/>
        </w:rPr>
      </w:pPr>
      <w:r>
        <w:rPr>
          <w:rFonts w:hint="eastAsia"/>
          <w:b/>
          <w:bCs/>
          <w:lang w:val="en-US" w:eastAsia="zh-CN"/>
        </w:rPr>
        <w:t>（七）项目支出预算情况说明</w:t>
      </w:r>
    </w:p>
    <w:p w14:paraId="38AA16AA">
      <w:pPr>
        <w:pageBreakBefore w:val="0"/>
        <w:widowControl w:val="0"/>
        <w:kinsoku/>
        <w:wordWrap/>
        <w:overflowPunct/>
        <w:topLinePunct w:val="0"/>
        <w:bidi w:val="0"/>
        <w:adjustRightInd w:val="0"/>
        <w:snapToGrid w:val="0"/>
        <w:spacing w:line="360" w:lineRule="auto"/>
        <w:ind w:firstLine="640" w:firstLineChars="200"/>
        <w:textAlignment w:val="auto"/>
        <w:rPr>
          <w:rFonts w:hint="eastAsia" w:ascii="楷体" w:hAnsi="楷体" w:eastAsia="楷体" w:cs="楷体"/>
          <w:bCs/>
          <w:kern w:val="44"/>
          <w:sz w:val="32"/>
          <w:szCs w:val="32"/>
          <w:highlight w:val="none"/>
          <w:lang w:val="en-US" w:eastAsia="zh-CN"/>
        </w:rPr>
      </w:pPr>
      <w:r>
        <w:rPr>
          <w:rFonts w:hint="eastAsia" w:ascii="黑体" w:hAnsi="黑体" w:eastAsia="黑体" w:cs="黑体"/>
          <w:b w:val="0"/>
          <w:bCs w:val="0"/>
          <w:sz w:val="32"/>
          <w:szCs w:val="32"/>
          <w:u w:val="none"/>
          <w:lang w:val="en-US" w:eastAsia="zh-CN"/>
        </w:rPr>
        <w:t>2024</w:t>
      </w:r>
      <w:r>
        <w:rPr>
          <w:rFonts w:hint="eastAsia"/>
          <w:lang w:val="en-US" w:eastAsia="zh-CN"/>
        </w:rPr>
        <w:t>年度</w:t>
      </w:r>
      <w:r>
        <w:rPr>
          <w:rFonts w:hint="eastAsia" w:ascii="楷体" w:hAnsi="楷体" w:eastAsia="楷体" w:cs="楷体"/>
          <w:bCs/>
          <w:kern w:val="44"/>
          <w:sz w:val="32"/>
          <w:szCs w:val="32"/>
          <w:highlight w:val="none"/>
          <w:lang w:val="en-US" w:eastAsia="zh-CN"/>
        </w:rPr>
        <w:t>预算共安排项目支出</w:t>
      </w:r>
      <w:r>
        <w:rPr>
          <w:rFonts w:hint="eastAsia" w:ascii="仿宋_GB2312"/>
          <w:bCs/>
          <w:kern w:val="44"/>
          <w:sz w:val="32"/>
          <w:szCs w:val="32"/>
          <w:highlight w:val="none"/>
          <w:u w:val="single"/>
          <w:lang w:val="en-US" w:eastAsia="zh-CN"/>
        </w:rPr>
        <w:t>7792</w:t>
      </w:r>
      <w:r>
        <w:rPr>
          <w:rFonts w:hint="eastAsia" w:ascii="楷体" w:hAnsi="楷体" w:eastAsia="楷体" w:cs="楷体"/>
          <w:bCs/>
          <w:kern w:val="44"/>
          <w:sz w:val="32"/>
          <w:szCs w:val="32"/>
          <w:highlight w:val="none"/>
          <w:lang w:val="en-US" w:eastAsia="zh-CN"/>
        </w:rPr>
        <w:t>万元，</w:t>
      </w:r>
      <w:r>
        <w:rPr>
          <w:rFonts w:hint="eastAsia"/>
          <w:lang w:val="en-US" w:eastAsia="zh-CN"/>
        </w:rPr>
        <w:t>比上年增加3049万元，</w:t>
      </w:r>
      <w:r>
        <w:rPr>
          <w:rFonts w:hint="eastAsia" w:ascii="仿宋_GB2312" w:eastAsia="仿宋_GB2312"/>
          <w:bCs/>
          <w:kern w:val="44"/>
          <w:sz w:val="32"/>
          <w:szCs w:val="32"/>
          <w:highlight w:val="none"/>
        </w:rPr>
        <w:t>增长</w:t>
      </w:r>
      <w:r>
        <w:rPr>
          <w:rFonts w:hint="eastAsia" w:ascii="仿宋_GB2312"/>
          <w:bCs/>
          <w:kern w:val="44"/>
          <w:sz w:val="32"/>
          <w:szCs w:val="32"/>
          <w:highlight w:val="none"/>
          <w:lang w:val="en-US" w:eastAsia="zh-CN"/>
        </w:rPr>
        <w:t>64.28</w:t>
      </w:r>
      <w:r>
        <w:rPr>
          <w:rFonts w:hint="eastAsia" w:ascii="仿宋_GB2312" w:eastAsia="仿宋_GB2312"/>
          <w:bCs/>
          <w:kern w:val="44"/>
          <w:sz w:val="32"/>
          <w:szCs w:val="32"/>
          <w:highlight w:val="none"/>
        </w:rPr>
        <w:t>%</w:t>
      </w:r>
      <w:r>
        <w:rPr>
          <w:rFonts w:hint="eastAsia" w:ascii="仿宋_GB2312"/>
          <w:bCs/>
          <w:kern w:val="44"/>
          <w:sz w:val="32"/>
          <w:szCs w:val="32"/>
          <w:highlight w:val="none"/>
          <w:lang w:eastAsia="zh-CN"/>
        </w:rPr>
        <w:t>，</w:t>
      </w:r>
      <w:r>
        <w:rPr>
          <w:rFonts w:hint="eastAsia" w:ascii="仿宋_GB2312" w:eastAsia="仿宋_GB2312"/>
          <w:bCs/>
          <w:kern w:val="44"/>
          <w:sz w:val="32"/>
          <w:szCs w:val="32"/>
          <w:highlight w:val="none"/>
          <w:lang w:val="en-US" w:eastAsia="zh-CN"/>
        </w:rPr>
        <w:t>增加原因主要是：</w:t>
      </w:r>
      <w:r>
        <w:rPr>
          <w:rFonts w:hint="eastAsia" w:ascii="仿宋_GB2312" w:eastAsia="仿宋_GB2312"/>
          <w:bCs/>
          <w:kern w:val="44"/>
          <w:sz w:val="32"/>
          <w:szCs w:val="32"/>
          <w:highlight w:val="none"/>
        </w:rPr>
        <w:t>是</w:t>
      </w:r>
      <w:r>
        <w:rPr>
          <w:rFonts w:hint="eastAsia" w:ascii="仿宋_GB2312"/>
          <w:bCs/>
          <w:kern w:val="44"/>
          <w:sz w:val="32"/>
          <w:szCs w:val="32"/>
          <w:highlight w:val="none"/>
          <w:lang w:val="en-US" w:eastAsia="zh-CN"/>
        </w:rPr>
        <w:t>本年新增公立医院改革补助经费3200万元、重点专科建设发展经费300万元，减少免费无创产前基因检测经费和生育托育奖励经费448万元等</w:t>
      </w:r>
      <w:r>
        <w:rPr>
          <w:rFonts w:hint="eastAsia" w:ascii="楷体" w:hAnsi="楷体" w:eastAsia="楷体" w:cs="楷体"/>
          <w:bCs/>
          <w:kern w:val="44"/>
          <w:sz w:val="32"/>
          <w:szCs w:val="32"/>
          <w:highlight w:val="none"/>
          <w:lang w:val="en-US" w:eastAsia="zh-CN"/>
        </w:rPr>
        <w:t>。</w:t>
      </w:r>
      <w:r>
        <w:rPr>
          <w:rFonts w:hint="eastAsia" w:ascii="仿宋_GB2312" w:eastAsia="仿宋_GB2312"/>
          <w:bCs/>
          <w:kern w:val="44"/>
          <w:sz w:val="32"/>
          <w:szCs w:val="32"/>
          <w:highlight w:val="none"/>
          <w:lang w:val="en-US" w:eastAsia="zh-CN"/>
        </w:rPr>
        <w:t>主要包括：本年财政拨款安排</w:t>
      </w:r>
      <w:r>
        <w:rPr>
          <w:rFonts w:hint="eastAsia" w:ascii="仿宋_GB2312"/>
          <w:bCs/>
          <w:kern w:val="44"/>
          <w:sz w:val="32"/>
          <w:szCs w:val="32"/>
          <w:highlight w:val="none"/>
          <w:u w:val="single"/>
          <w:lang w:val="en-US" w:eastAsia="zh-CN"/>
        </w:rPr>
        <w:t>7792</w:t>
      </w:r>
      <w:r>
        <w:rPr>
          <w:rFonts w:hint="eastAsia" w:ascii="仿宋_GB2312" w:eastAsia="仿宋_GB2312"/>
          <w:bCs/>
          <w:kern w:val="44"/>
          <w:sz w:val="32"/>
          <w:szCs w:val="32"/>
          <w:highlight w:val="none"/>
          <w:lang w:val="en-US" w:eastAsia="zh-CN"/>
        </w:rPr>
        <w:t>万元（其中，一般公共预算拨款安排</w:t>
      </w:r>
      <w:r>
        <w:rPr>
          <w:rFonts w:hint="eastAsia" w:ascii="仿宋_GB2312"/>
          <w:bCs/>
          <w:kern w:val="44"/>
          <w:sz w:val="32"/>
          <w:szCs w:val="32"/>
          <w:highlight w:val="none"/>
          <w:u w:val="single"/>
          <w:lang w:val="en-US" w:eastAsia="zh-CN"/>
        </w:rPr>
        <w:t>7792</w:t>
      </w:r>
      <w:r>
        <w:rPr>
          <w:rFonts w:hint="eastAsia" w:ascii="仿宋_GB2312" w:eastAsia="仿宋_GB2312"/>
          <w:bCs/>
          <w:kern w:val="44"/>
          <w:sz w:val="32"/>
          <w:szCs w:val="32"/>
          <w:highlight w:val="none"/>
          <w:lang w:val="en-US" w:eastAsia="zh-CN"/>
        </w:rPr>
        <w:t>万元）。</w:t>
      </w:r>
    </w:p>
    <w:p w14:paraId="1606DC41">
      <w:pPr>
        <w:ind w:firstLine="640"/>
        <w:jc w:val="both"/>
        <w:rPr>
          <w:rFonts w:hint="eastAsia" w:ascii="仿宋_GB2312"/>
          <w:bCs/>
          <w:kern w:val="44"/>
          <w:sz w:val="32"/>
          <w:szCs w:val="32"/>
          <w:highlight w:val="none"/>
          <w:lang w:eastAsia="zh-CN"/>
        </w:rPr>
      </w:pPr>
      <w:r>
        <w:rPr>
          <w:rFonts w:hint="eastAsia" w:ascii="仿宋_GB2312"/>
          <w:b w:val="0"/>
          <w:bCs w:val="0"/>
          <w:color w:val="000000"/>
          <w:sz w:val="32"/>
          <w:szCs w:val="32"/>
          <w:highlight w:val="none"/>
          <w:lang w:val="en-US" w:eastAsia="zh-CN"/>
        </w:rPr>
        <w:t>项目包括：1、实施国家基本药物制度补助资金项目。预算经费</w:t>
      </w:r>
      <w:r>
        <w:rPr>
          <w:rFonts w:hint="eastAsia" w:ascii="仿宋_GB2312"/>
          <w:b w:val="0"/>
          <w:bCs w:val="0"/>
          <w:kern w:val="44"/>
          <w:sz w:val="32"/>
          <w:szCs w:val="32"/>
          <w:highlight w:val="none"/>
          <w:u w:val="single"/>
          <w:lang w:val="en-US" w:eastAsia="zh-CN"/>
        </w:rPr>
        <w:t>200</w:t>
      </w:r>
      <w:r>
        <w:rPr>
          <w:rFonts w:hint="eastAsia" w:ascii="仿宋_GB2312" w:eastAsia="仿宋_GB2312"/>
          <w:bCs/>
          <w:kern w:val="44"/>
          <w:sz w:val="32"/>
          <w:szCs w:val="32"/>
          <w:highlight w:val="none"/>
          <w:lang w:val="en-US" w:eastAsia="zh-CN"/>
        </w:rPr>
        <w:t>万元</w:t>
      </w:r>
      <w:r>
        <w:rPr>
          <w:rFonts w:hint="eastAsia" w:ascii="仿宋_GB2312"/>
          <w:bCs/>
          <w:kern w:val="44"/>
          <w:sz w:val="32"/>
          <w:szCs w:val="32"/>
          <w:highlight w:val="none"/>
          <w:lang w:val="en-US" w:eastAsia="zh-CN"/>
        </w:rPr>
        <w:t>，比上年</w:t>
      </w:r>
      <w:r>
        <w:rPr>
          <w:rFonts w:hint="eastAsia"/>
          <w:lang w:val="en-US" w:eastAsia="zh-CN"/>
        </w:rPr>
        <w:t>预算</w:t>
      </w:r>
      <w:r>
        <w:rPr>
          <w:rFonts w:hint="eastAsia" w:ascii="仿宋_GB2312" w:eastAsia="仿宋_GB2312"/>
          <w:bCs/>
          <w:kern w:val="44"/>
          <w:sz w:val="32"/>
          <w:szCs w:val="32"/>
          <w:highlight w:val="none"/>
        </w:rPr>
        <w:t>增加</w:t>
      </w:r>
      <w:r>
        <w:rPr>
          <w:rFonts w:hint="eastAsia" w:ascii="仿宋_GB2312"/>
          <w:bCs/>
          <w:kern w:val="44"/>
          <w:sz w:val="32"/>
          <w:szCs w:val="32"/>
          <w:highlight w:val="none"/>
          <w:lang w:val="en-US" w:eastAsia="zh-CN"/>
        </w:rPr>
        <w:t>0</w:t>
      </w:r>
      <w:r>
        <w:rPr>
          <w:rFonts w:hint="eastAsia" w:ascii="仿宋_GB2312" w:eastAsia="仿宋_GB2312"/>
          <w:bCs/>
          <w:kern w:val="44"/>
          <w:sz w:val="32"/>
          <w:szCs w:val="32"/>
          <w:highlight w:val="none"/>
        </w:rPr>
        <w:t>万元，增长</w:t>
      </w:r>
      <w:r>
        <w:rPr>
          <w:rFonts w:hint="eastAsia" w:ascii="仿宋_GB2312"/>
          <w:bCs/>
          <w:kern w:val="44"/>
          <w:sz w:val="32"/>
          <w:szCs w:val="32"/>
          <w:highlight w:val="none"/>
          <w:lang w:val="en-US" w:eastAsia="zh-CN"/>
        </w:rPr>
        <w:t>0</w:t>
      </w:r>
      <w:r>
        <w:rPr>
          <w:rFonts w:hint="eastAsia" w:ascii="仿宋_GB2312" w:eastAsia="仿宋_GB2312"/>
          <w:bCs/>
          <w:kern w:val="44"/>
          <w:sz w:val="32"/>
          <w:szCs w:val="32"/>
          <w:highlight w:val="none"/>
        </w:rPr>
        <w:t>%。</w:t>
      </w:r>
      <w:r>
        <w:rPr>
          <w:rFonts w:hint="eastAsia" w:ascii="仿宋_GB2312"/>
          <w:bCs/>
          <w:kern w:val="44"/>
          <w:sz w:val="32"/>
          <w:szCs w:val="32"/>
          <w:highlight w:val="none"/>
          <w:lang w:val="en-US" w:eastAsia="zh-CN"/>
        </w:rPr>
        <w:t>主要用于</w:t>
      </w:r>
      <w:r>
        <w:rPr>
          <w:rFonts w:hint="eastAsia" w:ascii="仿宋" w:hAnsi="仿宋" w:eastAsia="仿宋" w:cs="仿宋"/>
          <w:color w:val="000000"/>
          <w:sz w:val="32"/>
          <w:szCs w:val="32"/>
          <w:u w:val="none"/>
          <w:shd w:val="clear" w:color="auto" w:fill="FFFFFF"/>
        </w:rPr>
        <w:t>保障基层</w:t>
      </w:r>
      <w:r>
        <w:rPr>
          <w:rFonts w:hint="eastAsia" w:ascii="仿宋" w:hAnsi="仿宋" w:eastAsia="仿宋" w:cs="仿宋"/>
          <w:color w:val="000000"/>
          <w:sz w:val="32"/>
          <w:szCs w:val="32"/>
          <w:u w:val="none"/>
          <w:shd w:val="clear" w:color="auto" w:fill="FFFFFF"/>
          <w:lang w:eastAsia="zh-CN"/>
        </w:rPr>
        <w:t>医疗机构</w:t>
      </w:r>
      <w:r>
        <w:rPr>
          <w:rFonts w:hint="eastAsia" w:ascii="仿宋" w:hAnsi="仿宋" w:eastAsia="仿宋" w:cs="仿宋"/>
          <w:color w:val="000000"/>
          <w:sz w:val="32"/>
          <w:szCs w:val="32"/>
          <w:u w:val="none"/>
          <w:shd w:val="clear" w:color="auto" w:fill="FFFFFF"/>
        </w:rPr>
        <w:t>运转，人员支出</w:t>
      </w:r>
      <w:r>
        <w:rPr>
          <w:rFonts w:hint="eastAsia" w:ascii="仿宋_GB2312"/>
          <w:bCs/>
          <w:kern w:val="44"/>
          <w:sz w:val="32"/>
          <w:szCs w:val="32"/>
          <w:highlight w:val="none"/>
          <w:lang w:eastAsia="zh-CN"/>
        </w:rPr>
        <w:t>。</w:t>
      </w:r>
    </w:p>
    <w:p w14:paraId="7C658302">
      <w:pPr>
        <w:numPr>
          <w:ilvl w:val="0"/>
          <w:numId w:val="1"/>
        </w:numPr>
        <w:ind w:firstLine="640"/>
        <w:jc w:val="both"/>
        <w:rPr>
          <w:rFonts w:hint="eastAsia" w:ascii="仿宋_GB2312"/>
          <w:bCs/>
          <w:kern w:val="44"/>
          <w:sz w:val="32"/>
          <w:szCs w:val="32"/>
          <w:highlight w:val="none"/>
          <w:lang w:eastAsia="zh-CN"/>
        </w:rPr>
      </w:pPr>
      <w:r>
        <w:rPr>
          <w:rFonts w:hint="eastAsia" w:ascii="仿宋_GB2312"/>
          <w:b w:val="0"/>
          <w:bCs w:val="0"/>
          <w:color w:val="000000"/>
          <w:sz w:val="32"/>
          <w:szCs w:val="32"/>
          <w:highlight w:val="none"/>
          <w:lang w:val="en-US" w:eastAsia="zh-CN"/>
        </w:rPr>
        <w:t>重点专科建设发展经费项目。预算经费</w:t>
      </w:r>
      <w:r>
        <w:rPr>
          <w:rFonts w:hint="eastAsia" w:ascii="仿宋_GB2312"/>
          <w:b w:val="0"/>
          <w:bCs w:val="0"/>
          <w:kern w:val="44"/>
          <w:sz w:val="32"/>
          <w:szCs w:val="32"/>
          <w:highlight w:val="none"/>
          <w:u w:val="single"/>
          <w:lang w:val="en-US" w:eastAsia="zh-CN"/>
        </w:rPr>
        <w:t>300</w:t>
      </w:r>
      <w:r>
        <w:rPr>
          <w:rFonts w:hint="eastAsia" w:ascii="仿宋_GB2312" w:eastAsia="仿宋_GB2312"/>
          <w:bCs/>
          <w:kern w:val="44"/>
          <w:sz w:val="32"/>
          <w:szCs w:val="32"/>
          <w:highlight w:val="none"/>
          <w:lang w:val="en-US" w:eastAsia="zh-CN"/>
        </w:rPr>
        <w:t>万元</w:t>
      </w:r>
      <w:r>
        <w:rPr>
          <w:rFonts w:hint="eastAsia" w:ascii="仿宋_GB2312"/>
          <w:bCs/>
          <w:kern w:val="44"/>
          <w:sz w:val="32"/>
          <w:szCs w:val="32"/>
          <w:highlight w:val="none"/>
          <w:lang w:val="en-US" w:eastAsia="zh-CN"/>
        </w:rPr>
        <w:t>，比上年</w:t>
      </w:r>
      <w:r>
        <w:rPr>
          <w:rFonts w:hint="eastAsia"/>
          <w:lang w:val="en-US" w:eastAsia="zh-CN"/>
        </w:rPr>
        <w:t>预算</w:t>
      </w:r>
      <w:r>
        <w:rPr>
          <w:rFonts w:hint="eastAsia" w:ascii="仿宋_GB2312" w:eastAsia="仿宋_GB2312"/>
          <w:bCs/>
          <w:kern w:val="44"/>
          <w:sz w:val="32"/>
          <w:szCs w:val="32"/>
          <w:highlight w:val="none"/>
        </w:rPr>
        <w:t>增加</w:t>
      </w:r>
      <w:r>
        <w:rPr>
          <w:rFonts w:hint="eastAsia" w:ascii="仿宋_GB2312"/>
          <w:bCs/>
          <w:kern w:val="44"/>
          <w:sz w:val="32"/>
          <w:szCs w:val="32"/>
          <w:highlight w:val="none"/>
          <w:lang w:val="en-US" w:eastAsia="zh-CN"/>
        </w:rPr>
        <w:t>300</w:t>
      </w:r>
      <w:r>
        <w:rPr>
          <w:rFonts w:hint="eastAsia" w:ascii="仿宋_GB2312" w:eastAsia="仿宋_GB2312"/>
          <w:bCs/>
          <w:kern w:val="44"/>
          <w:sz w:val="32"/>
          <w:szCs w:val="32"/>
          <w:highlight w:val="none"/>
        </w:rPr>
        <w:t>万元，增长</w:t>
      </w:r>
      <w:r>
        <w:rPr>
          <w:rFonts w:hint="eastAsia" w:ascii="仿宋_GB2312"/>
          <w:bCs/>
          <w:kern w:val="44"/>
          <w:sz w:val="32"/>
          <w:szCs w:val="32"/>
          <w:highlight w:val="none"/>
          <w:lang w:val="en-US" w:eastAsia="zh-CN"/>
        </w:rPr>
        <w:t>100</w:t>
      </w:r>
      <w:r>
        <w:rPr>
          <w:rFonts w:hint="eastAsia" w:ascii="仿宋_GB2312" w:eastAsia="仿宋_GB2312"/>
          <w:bCs/>
          <w:kern w:val="44"/>
          <w:sz w:val="32"/>
          <w:szCs w:val="32"/>
          <w:highlight w:val="none"/>
        </w:rPr>
        <w:t>%。</w:t>
      </w:r>
      <w:r>
        <w:rPr>
          <w:rFonts w:hint="eastAsia" w:ascii="仿宋_GB2312"/>
          <w:bCs/>
          <w:kern w:val="44"/>
          <w:sz w:val="32"/>
          <w:szCs w:val="32"/>
          <w:highlight w:val="none"/>
          <w:lang w:val="en-US" w:eastAsia="zh-CN"/>
        </w:rPr>
        <w:t>主要用于</w:t>
      </w:r>
      <w:r>
        <w:rPr>
          <w:rFonts w:hint="eastAsia" w:ascii="仿宋_GB2312" w:eastAsia="仿宋_GB2312"/>
          <w:bCs/>
          <w:kern w:val="44"/>
          <w:sz w:val="32"/>
          <w:szCs w:val="32"/>
          <w:highlight w:val="none"/>
        </w:rPr>
        <w:t>深入推进计生转型发展，重点保障计生两扶、监督执法、住院护理险、计生助你行等工作；为身份不明或无力支付费用的急危重伤病患者得到及时救助、有效的救助。保障职称评审等工作正常开展</w:t>
      </w:r>
      <w:r>
        <w:rPr>
          <w:rFonts w:hint="eastAsia" w:ascii="仿宋_GB2312"/>
          <w:bCs/>
          <w:kern w:val="44"/>
          <w:sz w:val="32"/>
          <w:szCs w:val="32"/>
          <w:highlight w:val="none"/>
          <w:lang w:eastAsia="zh-CN"/>
        </w:rPr>
        <w:t>。</w:t>
      </w:r>
    </w:p>
    <w:p w14:paraId="3E3C35A6">
      <w:pPr>
        <w:numPr>
          <w:ilvl w:val="0"/>
          <w:numId w:val="1"/>
        </w:numPr>
        <w:ind w:firstLine="640"/>
        <w:jc w:val="both"/>
        <w:rPr>
          <w:rFonts w:hint="eastAsia" w:ascii="仿宋_GB2312"/>
          <w:bCs/>
          <w:kern w:val="44"/>
          <w:sz w:val="32"/>
          <w:szCs w:val="32"/>
          <w:highlight w:val="none"/>
          <w:lang w:eastAsia="zh-CN"/>
        </w:rPr>
      </w:pPr>
      <w:r>
        <w:rPr>
          <w:rFonts w:hint="eastAsia" w:ascii="仿宋_GB2312"/>
          <w:bCs/>
          <w:kern w:val="44"/>
          <w:sz w:val="32"/>
          <w:szCs w:val="32"/>
          <w:highlight w:val="none"/>
          <w:lang w:eastAsia="zh-CN"/>
        </w:rPr>
        <w:t>黄石市医疗纠纷人民调解委员会工作经费项目。</w:t>
      </w:r>
      <w:r>
        <w:rPr>
          <w:rFonts w:hint="eastAsia" w:ascii="仿宋" w:hAnsi="仿宋" w:eastAsia="仿宋"/>
          <w:sz w:val="32"/>
          <w:szCs w:val="32"/>
          <w:u w:val="none"/>
          <w:lang w:val="en-US" w:eastAsia="zh-CN"/>
        </w:rPr>
        <w:t>预算经费25万元，比上年预算</w:t>
      </w:r>
      <w:r>
        <w:rPr>
          <w:rFonts w:hint="eastAsia" w:ascii="仿宋" w:hAnsi="仿宋" w:eastAsia="仿宋"/>
          <w:sz w:val="32"/>
          <w:szCs w:val="32"/>
          <w:u w:val="none"/>
        </w:rPr>
        <w:t>增加</w:t>
      </w:r>
      <w:r>
        <w:rPr>
          <w:rFonts w:hint="eastAsia" w:ascii="仿宋" w:hAnsi="仿宋" w:eastAsia="仿宋"/>
          <w:sz w:val="32"/>
          <w:szCs w:val="32"/>
          <w:u w:val="none"/>
          <w:lang w:val="en-US" w:eastAsia="zh-CN"/>
        </w:rPr>
        <w:t>0</w:t>
      </w:r>
      <w:r>
        <w:rPr>
          <w:rFonts w:hint="eastAsia" w:ascii="仿宋" w:hAnsi="仿宋" w:eastAsia="仿宋"/>
          <w:sz w:val="32"/>
          <w:szCs w:val="32"/>
          <w:u w:val="none"/>
        </w:rPr>
        <w:t>万元，增长</w:t>
      </w:r>
      <w:r>
        <w:rPr>
          <w:rFonts w:hint="eastAsia" w:ascii="仿宋" w:hAnsi="仿宋" w:eastAsia="仿宋"/>
          <w:sz w:val="32"/>
          <w:szCs w:val="32"/>
          <w:u w:val="none"/>
          <w:lang w:val="en-US" w:eastAsia="zh-CN"/>
        </w:rPr>
        <w:t>0</w:t>
      </w:r>
      <w:r>
        <w:rPr>
          <w:rFonts w:hint="eastAsia" w:ascii="仿宋" w:hAnsi="仿宋" w:eastAsia="仿宋"/>
          <w:sz w:val="32"/>
          <w:szCs w:val="32"/>
          <w:u w:val="none"/>
        </w:rPr>
        <w:t>%。</w:t>
      </w:r>
      <w:r>
        <w:rPr>
          <w:rFonts w:hint="eastAsia" w:ascii="仿宋" w:hAnsi="仿宋" w:eastAsia="仿宋"/>
          <w:sz w:val="32"/>
          <w:szCs w:val="32"/>
          <w:u w:val="none"/>
          <w:lang w:val="en-US" w:eastAsia="zh-CN"/>
        </w:rPr>
        <w:t>主要用于市医疗纠纷人民调解委员会的工作经费。</w:t>
      </w:r>
    </w:p>
    <w:p w14:paraId="593D252E">
      <w:pPr>
        <w:numPr>
          <w:ilvl w:val="0"/>
          <w:numId w:val="1"/>
        </w:numPr>
        <w:ind w:firstLine="640"/>
        <w:jc w:val="both"/>
        <w:rPr>
          <w:rFonts w:hint="eastAsia" w:ascii="仿宋_GB2312"/>
          <w:bCs/>
          <w:kern w:val="44"/>
          <w:sz w:val="32"/>
          <w:szCs w:val="32"/>
          <w:highlight w:val="none"/>
          <w:lang w:eastAsia="zh-CN"/>
        </w:rPr>
      </w:pPr>
      <w:r>
        <w:rPr>
          <w:rFonts w:hint="eastAsia" w:ascii="仿宋_GB2312"/>
          <w:bCs/>
          <w:kern w:val="44"/>
          <w:sz w:val="32"/>
          <w:szCs w:val="32"/>
          <w:highlight w:val="none"/>
          <w:lang w:eastAsia="zh-CN"/>
        </w:rPr>
        <w:t>城镇独生子女年老父母计划生育奖励项目。</w:t>
      </w:r>
      <w:r>
        <w:rPr>
          <w:rFonts w:hint="eastAsia" w:ascii="仿宋_GB2312"/>
          <w:b w:val="0"/>
          <w:bCs w:val="0"/>
          <w:color w:val="000000"/>
          <w:sz w:val="32"/>
          <w:szCs w:val="32"/>
          <w:highlight w:val="none"/>
          <w:u w:val="none"/>
          <w:lang w:val="en-US" w:eastAsia="zh-CN"/>
        </w:rPr>
        <w:t>预算经费</w:t>
      </w:r>
      <w:r>
        <w:rPr>
          <w:rFonts w:hint="eastAsia" w:ascii="仿宋_GB2312"/>
          <w:b w:val="0"/>
          <w:bCs w:val="0"/>
          <w:kern w:val="44"/>
          <w:sz w:val="32"/>
          <w:szCs w:val="32"/>
          <w:highlight w:val="none"/>
          <w:u w:val="none"/>
          <w:lang w:val="en-US" w:eastAsia="zh-CN"/>
        </w:rPr>
        <w:t>1000</w:t>
      </w:r>
      <w:r>
        <w:rPr>
          <w:rFonts w:hint="eastAsia" w:ascii="仿宋_GB2312" w:eastAsia="仿宋_GB2312"/>
          <w:bCs/>
          <w:kern w:val="44"/>
          <w:sz w:val="32"/>
          <w:szCs w:val="32"/>
          <w:highlight w:val="none"/>
          <w:u w:val="none"/>
          <w:lang w:val="en-US" w:eastAsia="zh-CN"/>
        </w:rPr>
        <w:t>万元</w:t>
      </w:r>
      <w:r>
        <w:rPr>
          <w:rFonts w:hint="eastAsia" w:ascii="仿宋_GB2312"/>
          <w:bCs/>
          <w:kern w:val="44"/>
          <w:sz w:val="32"/>
          <w:szCs w:val="32"/>
          <w:highlight w:val="none"/>
          <w:u w:val="none"/>
          <w:lang w:val="en-US" w:eastAsia="zh-CN"/>
        </w:rPr>
        <w:t>，比上年</w:t>
      </w:r>
      <w:r>
        <w:rPr>
          <w:rFonts w:hint="eastAsia"/>
          <w:u w:val="none"/>
          <w:lang w:val="en-US" w:eastAsia="zh-CN"/>
        </w:rPr>
        <w:t>预算</w:t>
      </w:r>
      <w:r>
        <w:rPr>
          <w:rFonts w:hint="eastAsia" w:ascii="仿宋_GB2312" w:eastAsia="仿宋_GB2312"/>
          <w:bCs/>
          <w:kern w:val="44"/>
          <w:sz w:val="32"/>
          <w:szCs w:val="32"/>
          <w:highlight w:val="none"/>
          <w:u w:val="none"/>
        </w:rPr>
        <w:t>增加</w:t>
      </w:r>
      <w:r>
        <w:rPr>
          <w:rFonts w:hint="eastAsia" w:ascii="仿宋_GB2312"/>
          <w:bCs/>
          <w:kern w:val="44"/>
          <w:sz w:val="32"/>
          <w:szCs w:val="32"/>
          <w:highlight w:val="none"/>
          <w:u w:val="none"/>
          <w:lang w:val="en-US" w:eastAsia="zh-CN"/>
        </w:rPr>
        <w:t>0</w:t>
      </w:r>
      <w:r>
        <w:rPr>
          <w:rFonts w:hint="eastAsia" w:ascii="仿宋_GB2312" w:eastAsia="仿宋_GB2312"/>
          <w:bCs/>
          <w:kern w:val="44"/>
          <w:sz w:val="32"/>
          <w:szCs w:val="32"/>
          <w:highlight w:val="none"/>
          <w:u w:val="none"/>
        </w:rPr>
        <w:t>万元，增长</w:t>
      </w:r>
      <w:r>
        <w:rPr>
          <w:rFonts w:hint="eastAsia" w:ascii="仿宋_GB2312"/>
          <w:bCs/>
          <w:kern w:val="44"/>
          <w:sz w:val="32"/>
          <w:szCs w:val="32"/>
          <w:highlight w:val="none"/>
          <w:u w:val="none"/>
          <w:lang w:val="en-US" w:eastAsia="zh-CN"/>
        </w:rPr>
        <w:t>0</w:t>
      </w:r>
      <w:r>
        <w:rPr>
          <w:rFonts w:hint="eastAsia" w:ascii="仿宋_GB2312" w:eastAsia="仿宋_GB2312"/>
          <w:bCs/>
          <w:kern w:val="44"/>
          <w:sz w:val="32"/>
          <w:szCs w:val="32"/>
          <w:highlight w:val="none"/>
          <w:u w:val="none"/>
        </w:rPr>
        <w:t>%。</w:t>
      </w:r>
      <w:r>
        <w:rPr>
          <w:rFonts w:hint="eastAsia" w:ascii="仿宋_GB2312"/>
          <w:bCs/>
          <w:kern w:val="44"/>
          <w:sz w:val="32"/>
          <w:szCs w:val="32"/>
          <w:highlight w:val="none"/>
          <w:u w:val="none"/>
          <w:lang w:val="en-US" w:eastAsia="zh-CN"/>
        </w:rPr>
        <w:t>主要用于</w:t>
      </w:r>
      <w:r>
        <w:rPr>
          <w:rFonts w:ascii="仿宋" w:hAnsi="仿宋" w:eastAsia="仿宋"/>
          <w:sz w:val="32"/>
          <w:szCs w:val="32"/>
          <w:u w:val="none"/>
        </w:rPr>
        <w:t>落实计划生育基本国策，稳定低生育水平投入保障措施；支持计划生育工作，促进人口长期均衡发展</w:t>
      </w:r>
      <w:r>
        <w:rPr>
          <w:rFonts w:hint="eastAsia" w:ascii="仿宋_GB2312"/>
          <w:bCs/>
          <w:kern w:val="44"/>
          <w:sz w:val="32"/>
          <w:szCs w:val="32"/>
          <w:highlight w:val="none"/>
          <w:u w:val="none"/>
          <w:lang w:eastAsia="zh-CN"/>
        </w:rPr>
        <w:t>。</w:t>
      </w:r>
    </w:p>
    <w:p w14:paraId="1214C60F">
      <w:pPr>
        <w:numPr>
          <w:ilvl w:val="0"/>
          <w:numId w:val="1"/>
        </w:numPr>
        <w:ind w:firstLine="640"/>
        <w:jc w:val="both"/>
        <w:rPr>
          <w:rFonts w:hint="eastAsia" w:ascii="仿宋_GB2312"/>
          <w:bCs/>
          <w:kern w:val="44"/>
          <w:sz w:val="32"/>
          <w:szCs w:val="32"/>
          <w:highlight w:val="none"/>
          <w:lang w:eastAsia="zh-CN"/>
        </w:rPr>
      </w:pPr>
      <w:r>
        <w:rPr>
          <w:rFonts w:hint="eastAsia" w:ascii="仿宋_GB2312"/>
          <w:bCs/>
          <w:kern w:val="44"/>
          <w:sz w:val="32"/>
          <w:szCs w:val="32"/>
          <w:highlight w:val="none"/>
          <w:lang w:eastAsia="zh-CN"/>
        </w:rPr>
        <w:t>公立医院改革补助经费项目。</w:t>
      </w:r>
      <w:r>
        <w:rPr>
          <w:rFonts w:hint="eastAsia" w:ascii="仿宋_GB2312"/>
          <w:b w:val="0"/>
          <w:bCs w:val="0"/>
          <w:color w:val="000000"/>
          <w:sz w:val="32"/>
          <w:szCs w:val="32"/>
          <w:highlight w:val="none"/>
          <w:u w:val="none"/>
          <w:lang w:val="en-US" w:eastAsia="zh-CN"/>
        </w:rPr>
        <w:t>预算经费</w:t>
      </w:r>
      <w:r>
        <w:rPr>
          <w:rFonts w:hint="eastAsia" w:ascii="仿宋_GB2312"/>
          <w:b w:val="0"/>
          <w:bCs w:val="0"/>
          <w:kern w:val="44"/>
          <w:sz w:val="32"/>
          <w:szCs w:val="32"/>
          <w:highlight w:val="none"/>
          <w:u w:val="none"/>
          <w:lang w:val="en-US" w:eastAsia="zh-CN"/>
        </w:rPr>
        <w:t>3200</w:t>
      </w:r>
      <w:r>
        <w:rPr>
          <w:rFonts w:hint="eastAsia" w:ascii="仿宋_GB2312" w:eastAsia="仿宋_GB2312"/>
          <w:bCs/>
          <w:kern w:val="44"/>
          <w:sz w:val="32"/>
          <w:szCs w:val="32"/>
          <w:highlight w:val="none"/>
          <w:u w:val="none"/>
          <w:lang w:val="en-US" w:eastAsia="zh-CN"/>
        </w:rPr>
        <w:t>万元</w:t>
      </w:r>
      <w:r>
        <w:rPr>
          <w:rFonts w:hint="eastAsia" w:ascii="仿宋_GB2312"/>
          <w:bCs/>
          <w:kern w:val="44"/>
          <w:sz w:val="32"/>
          <w:szCs w:val="32"/>
          <w:highlight w:val="none"/>
          <w:u w:val="none"/>
          <w:lang w:val="en-US" w:eastAsia="zh-CN"/>
        </w:rPr>
        <w:t>，比上年</w:t>
      </w:r>
      <w:r>
        <w:rPr>
          <w:rFonts w:hint="eastAsia"/>
          <w:u w:val="none"/>
          <w:lang w:val="en-US" w:eastAsia="zh-CN"/>
        </w:rPr>
        <w:t>预算</w:t>
      </w:r>
      <w:r>
        <w:rPr>
          <w:rFonts w:hint="eastAsia" w:ascii="仿宋_GB2312" w:eastAsia="仿宋_GB2312"/>
          <w:bCs/>
          <w:kern w:val="44"/>
          <w:sz w:val="32"/>
          <w:szCs w:val="32"/>
          <w:highlight w:val="none"/>
          <w:u w:val="none"/>
        </w:rPr>
        <w:t>增加</w:t>
      </w:r>
      <w:r>
        <w:rPr>
          <w:rFonts w:hint="eastAsia" w:ascii="仿宋_GB2312"/>
          <w:bCs/>
          <w:kern w:val="44"/>
          <w:sz w:val="32"/>
          <w:szCs w:val="32"/>
          <w:highlight w:val="none"/>
          <w:u w:val="none"/>
          <w:lang w:val="en-US" w:eastAsia="zh-CN"/>
        </w:rPr>
        <w:t>3200</w:t>
      </w:r>
      <w:r>
        <w:rPr>
          <w:rFonts w:hint="eastAsia" w:ascii="仿宋_GB2312" w:eastAsia="仿宋_GB2312"/>
          <w:bCs/>
          <w:kern w:val="44"/>
          <w:sz w:val="32"/>
          <w:szCs w:val="32"/>
          <w:highlight w:val="none"/>
          <w:u w:val="none"/>
        </w:rPr>
        <w:t>万元，增长</w:t>
      </w:r>
      <w:r>
        <w:rPr>
          <w:rFonts w:hint="eastAsia" w:ascii="仿宋_GB2312"/>
          <w:bCs/>
          <w:kern w:val="44"/>
          <w:sz w:val="32"/>
          <w:szCs w:val="32"/>
          <w:highlight w:val="none"/>
          <w:u w:val="none"/>
          <w:lang w:val="en-US" w:eastAsia="zh-CN"/>
        </w:rPr>
        <w:t>100</w:t>
      </w:r>
      <w:r>
        <w:rPr>
          <w:rFonts w:hint="eastAsia" w:ascii="仿宋_GB2312" w:eastAsia="仿宋_GB2312"/>
          <w:bCs/>
          <w:kern w:val="44"/>
          <w:sz w:val="32"/>
          <w:szCs w:val="32"/>
          <w:highlight w:val="none"/>
          <w:u w:val="none"/>
        </w:rPr>
        <w:t>%。</w:t>
      </w:r>
      <w:r>
        <w:rPr>
          <w:rFonts w:hint="eastAsia" w:ascii="仿宋_GB2312"/>
          <w:bCs/>
          <w:kern w:val="44"/>
          <w:sz w:val="32"/>
          <w:szCs w:val="32"/>
          <w:highlight w:val="none"/>
          <w:u w:val="none"/>
          <w:lang w:val="en-US" w:eastAsia="zh-CN"/>
        </w:rPr>
        <w:t>主要用于</w:t>
      </w:r>
      <w:r>
        <w:rPr>
          <w:rFonts w:hint="eastAsia" w:ascii="仿宋_GB2312"/>
          <w:bCs/>
          <w:kern w:val="44"/>
          <w:sz w:val="32"/>
          <w:szCs w:val="32"/>
          <w:highlight w:val="none"/>
          <w:lang w:eastAsia="zh-CN"/>
        </w:rPr>
        <w:t>深化公立医院综合改革，建立健全现代医院管理制度，协调推进医疗价格、人事薪酬、药品流通，医保支付，提高医疗卫生服务质量。</w:t>
      </w:r>
    </w:p>
    <w:p w14:paraId="38C24DC7">
      <w:pPr>
        <w:numPr>
          <w:ilvl w:val="0"/>
          <w:numId w:val="1"/>
        </w:numPr>
        <w:ind w:firstLine="640"/>
        <w:jc w:val="both"/>
        <w:rPr>
          <w:rFonts w:hint="eastAsia" w:ascii="仿宋_GB2312"/>
          <w:bCs/>
          <w:kern w:val="44"/>
          <w:sz w:val="32"/>
          <w:szCs w:val="32"/>
          <w:highlight w:val="none"/>
          <w:lang w:eastAsia="zh-CN"/>
        </w:rPr>
      </w:pPr>
      <w:r>
        <w:rPr>
          <w:rFonts w:hint="eastAsia" w:ascii="仿宋_GB2312"/>
          <w:bCs/>
          <w:kern w:val="44"/>
          <w:sz w:val="32"/>
          <w:szCs w:val="32"/>
          <w:highlight w:val="none"/>
          <w:lang w:eastAsia="zh-CN"/>
        </w:rPr>
        <w:t>基本公共卫生服务经费项目。</w:t>
      </w:r>
      <w:r>
        <w:rPr>
          <w:rFonts w:hint="eastAsia" w:ascii="仿宋_GB2312"/>
          <w:b w:val="0"/>
          <w:bCs w:val="0"/>
          <w:color w:val="000000"/>
          <w:sz w:val="32"/>
          <w:szCs w:val="32"/>
          <w:highlight w:val="none"/>
          <w:u w:val="none"/>
          <w:lang w:val="en-US" w:eastAsia="zh-CN"/>
        </w:rPr>
        <w:t>预算经费</w:t>
      </w:r>
      <w:r>
        <w:rPr>
          <w:rFonts w:hint="eastAsia" w:ascii="仿宋_GB2312"/>
          <w:b w:val="0"/>
          <w:bCs w:val="0"/>
          <w:kern w:val="44"/>
          <w:sz w:val="32"/>
          <w:szCs w:val="32"/>
          <w:highlight w:val="none"/>
          <w:u w:val="none"/>
          <w:lang w:val="en-US" w:eastAsia="zh-CN"/>
        </w:rPr>
        <w:t>100</w:t>
      </w:r>
      <w:r>
        <w:rPr>
          <w:rFonts w:hint="eastAsia" w:ascii="仿宋_GB2312" w:eastAsia="仿宋_GB2312"/>
          <w:bCs/>
          <w:kern w:val="44"/>
          <w:sz w:val="32"/>
          <w:szCs w:val="32"/>
          <w:highlight w:val="none"/>
          <w:u w:val="none"/>
          <w:lang w:val="en-US" w:eastAsia="zh-CN"/>
        </w:rPr>
        <w:t>万元</w:t>
      </w:r>
      <w:r>
        <w:rPr>
          <w:rFonts w:hint="eastAsia" w:ascii="仿宋_GB2312"/>
          <w:bCs/>
          <w:kern w:val="44"/>
          <w:sz w:val="32"/>
          <w:szCs w:val="32"/>
          <w:highlight w:val="none"/>
          <w:u w:val="none"/>
          <w:lang w:val="en-US" w:eastAsia="zh-CN"/>
        </w:rPr>
        <w:t>，比上年</w:t>
      </w:r>
      <w:r>
        <w:rPr>
          <w:rFonts w:hint="eastAsia"/>
          <w:u w:val="none"/>
          <w:lang w:val="en-US" w:eastAsia="zh-CN"/>
        </w:rPr>
        <w:t>预算</w:t>
      </w:r>
      <w:r>
        <w:rPr>
          <w:rFonts w:hint="eastAsia" w:ascii="仿宋_GB2312" w:eastAsia="仿宋_GB2312"/>
          <w:bCs/>
          <w:kern w:val="44"/>
          <w:sz w:val="32"/>
          <w:szCs w:val="32"/>
          <w:highlight w:val="none"/>
          <w:u w:val="none"/>
        </w:rPr>
        <w:t>增加</w:t>
      </w:r>
      <w:r>
        <w:rPr>
          <w:rFonts w:hint="eastAsia" w:ascii="仿宋_GB2312"/>
          <w:bCs/>
          <w:kern w:val="44"/>
          <w:sz w:val="32"/>
          <w:szCs w:val="32"/>
          <w:highlight w:val="none"/>
          <w:u w:val="none"/>
          <w:lang w:val="en-US" w:eastAsia="zh-CN"/>
        </w:rPr>
        <w:t>0</w:t>
      </w:r>
      <w:r>
        <w:rPr>
          <w:rFonts w:hint="eastAsia" w:ascii="仿宋_GB2312" w:eastAsia="仿宋_GB2312"/>
          <w:bCs/>
          <w:kern w:val="44"/>
          <w:sz w:val="32"/>
          <w:szCs w:val="32"/>
          <w:highlight w:val="none"/>
          <w:u w:val="none"/>
        </w:rPr>
        <w:t>万元，增长</w:t>
      </w:r>
      <w:r>
        <w:rPr>
          <w:rFonts w:hint="eastAsia" w:ascii="仿宋_GB2312"/>
          <w:bCs/>
          <w:kern w:val="44"/>
          <w:sz w:val="32"/>
          <w:szCs w:val="32"/>
          <w:highlight w:val="none"/>
          <w:u w:val="none"/>
          <w:lang w:val="en-US" w:eastAsia="zh-CN"/>
        </w:rPr>
        <w:t>0</w:t>
      </w:r>
      <w:r>
        <w:rPr>
          <w:rFonts w:hint="eastAsia" w:ascii="仿宋_GB2312" w:eastAsia="仿宋_GB2312"/>
          <w:bCs/>
          <w:kern w:val="44"/>
          <w:sz w:val="32"/>
          <w:szCs w:val="32"/>
          <w:highlight w:val="none"/>
          <w:u w:val="none"/>
        </w:rPr>
        <w:t>%。</w:t>
      </w:r>
      <w:r>
        <w:rPr>
          <w:rFonts w:hint="eastAsia" w:ascii="仿宋_GB2312"/>
          <w:bCs/>
          <w:kern w:val="44"/>
          <w:sz w:val="32"/>
          <w:szCs w:val="32"/>
          <w:highlight w:val="none"/>
          <w:u w:val="none"/>
          <w:lang w:val="en-US" w:eastAsia="zh-CN"/>
        </w:rPr>
        <w:t>主要用于实现基本公共卫生服务均等化，目标是保障城乡居民获得最基本、最有效的基本公共卫生服务，缩小城乡居民基本公共卫生服务的差距，使大家都能享受到基本公共卫生服务，最终使老百姓不得病、少得病、晚得病、不得大病。</w:t>
      </w:r>
    </w:p>
    <w:p w14:paraId="1C3338F9">
      <w:pPr>
        <w:numPr>
          <w:ilvl w:val="0"/>
          <w:numId w:val="1"/>
        </w:numPr>
        <w:ind w:firstLine="640"/>
        <w:jc w:val="both"/>
        <w:rPr>
          <w:rFonts w:hint="eastAsia" w:ascii="仿宋_GB2312"/>
          <w:bCs/>
          <w:kern w:val="44"/>
          <w:sz w:val="32"/>
          <w:szCs w:val="32"/>
          <w:highlight w:val="none"/>
          <w:lang w:eastAsia="zh-CN"/>
        </w:rPr>
      </w:pPr>
      <w:r>
        <w:rPr>
          <w:rFonts w:hint="eastAsia" w:ascii="仿宋_GB2312"/>
          <w:bCs/>
          <w:kern w:val="44"/>
          <w:sz w:val="32"/>
          <w:szCs w:val="32"/>
          <w:highlight w:val="none"/>
          <w:lang w:eastAsia="zh-CN"/>
        </w:rPr>
        <w:t>人口健康发展补助经费项目。</w:t>
      </w:r>
      <w:r>
        <w:rPr>
          <w:rFonts w:hint="eastAsia" w:ascii="仿宋_GB2312"/>
          <w:b w:val="0"/>
          <w:bCs w:val="0"/>
          <w:color w:val="000000"/>
          <w:sz w:val="32"/>
          <w:szCs w:val="32"/>
          <w:highlight w:val="none"/>
          <w:u w:val="none"/>
          <w:lang w:val="en-US" w:eastAsia="zh-CN"/>
        </w:rPr>
        <w:t>预算经费</w:t>
      </w:r>
      <w:r>
        <w:rPr>
          <w:rFonts w:hint="eastAsia" w:ascii="仿宋_GB2312"/>
          <w:b w:val="0"/>
          <w:bCs w:val="0"/>
          <w:kern w:val="44"/>
          <w:sz w:val="32"/>
          <w:szCs w:val="32"/>
          <w:highlight w:val="none"/>
          <w:u w:val="none"/>
          <w:lang w:val="en-US" w:eastAsia="zh-CN"/>
        </w:rPr>
        <w:t>400</w:t>
      </w:r>
      <w:r>
        <w:rPr>
          <w:rFonts w:hint="eastAsia" w:ascii="仿宋_GB2312" w:eastAsia="仿宋_GB2312"/>
          <w:bCs/>
          <w:kern w:val="44"/>
          <w:sz w:val="32"/>
          <w:szCs w:val="32"/>
          <w:highlight w:val="none"/>
          <w:u w:val="none"/>
          <w:lang w:val="en-US" w:eastAsia="zh-CN"/>
        </w:rPr>
        <w:t>万元</w:t>
      </w:r>
      <w:r>
        <w:rPr>
          <w:rFonts w:hint="eastAsia" w:ascii="仿宋_GB2312"/>
          <w:bCs/>
          <w:kern w:val="44"/>
          <w:sz w:val="32"/>
          <w:szCs w:val="32"/>
          <w:highlight w:val="none"/>
          <w:u w:val="none"/>
          <w:lang w:val="en-US" w:eastAsia="zh-CN"/>
        </w:rPr>
        <w:t>，比上年</w:t>
      </w:r>
      <w:r>
        <w:rPr>
          <w:rFonts w:hint="eastAsia"/>
          <w:u w:val="none"/>
          <w:lang w:val="en-US" w:eastAsia="zh-CN"/>
        </w:rPr>
        <w:t>预算</w:t>
      </w:r>
      <w:r>
        <w:rPr>
          <w:rFonts w:hint="eastAsia" w:ascii="仿宋_GB2312"/>
          <w:bCs/>
          <w:kern w:val="44"/>
          <w:sz w:val="32"/>
          <w:szCs w:val="32"/>
          <w:highlight w:val="none"/>
          <w:u w:val="none"/>
          <w:lang w:eastAsia="zh-CN"/>
        </w:rPr>
        <w:t>减少</w:t>
      </w:r>
      <w:r>
        <w:rPr>
          <w:rFonts w:hint="eastAsia" w:ascii="仿宋_GB2312"/>
          <w:bCs/>
          <w:kern w:val="44"/>
          <w:sz w:val="32"/>
          <w:szCs w:val="32"/>
          <w:highlight w:val="none"/>
          <w:u w:val="none"/>
          <w:lang w:val="en-US" w:eastAsia="zh-CN"/>
        </w:rPr>
        <w:t>478</w:t>
      </w:r>
      <w:r>
        <w:rPr>
          <w:rFonts w:hint="eastAsia" w:ascii="仿宋_GB2312" w:eastAsia="仿宋_GB2312"/>
          <w:bCs/>
          <w:kern w:val="44"/>
          <w:sz w:val="32"/>
          <w:szCs w:val="32"/>
          <w:highlight w:val="none"/>
          <w:u w:val="none"/>
        </w:rPr>
        <w:t>万元，</w:t>
      </w:r>
      <w:r>
        <w:rPr>
          <w:rFonts w:hint="eastAsia" w:ascii="仿宋_GB2312"/>
          <w:bCs/>
          <w:kern w:val="44"/>
          <w:sz w:val="32"/>
          <w:szCs w:val="32"/>
          <w:highlight w:val="none"/>
          <w:u w:val="none"/>
          <w:lang w:eastAsia="zh-CN"/>
        </w:rPr>
        <w:t>下降</w:t>
      </w:r>
      <w:r>
        <w:rPr>
          <w:rFonts w:hint="eastAsia" w:ascii="仿宋_GB2312"/>
          <w:bCs/>
          <w:kern w:val="44"/>
          <w:sz w:val="32"/>
          <w:szCs w:val="32"/>
          <w:highlight w:val="none"/>
          <w:u w:val="none"/>
          <w:lang w:val="en-US" w:eastAsia="zh-CN"/>
        </w:rPr>
        <w:t>119.5</w:t>
      </w:r>
      <w:r>
        <w:rPr>
          <w:rFonts w:hint="eastAsia" w:ascii="仿宋_GB2312" w:eastAsia="仿宋_GB2312"/>
          <w:bCs/>
          <w:kern w:val="44"/>
          <w:sz w:val="32"/>
          <w:szCs w:val="32"/>
          <w:highlight w:val="none"/>
          <w:u w:val="none"/>
        </w:rPr>
        <w:t>%。</w:t>
      </w:r>
      <w:r>
        <w:rPr>
          <w:rFonts w:hint="eastAsia" w:ascii="仿宋_GB2312"/>
          <w:bCs/>
          <w:kern w:val="44"/>
          <w:sz w:val="32"/>
          <w:szCs w:val="32"/>
          <w:highlight w:val="none"/>
          <w:u w:val="none"/>
          <w:lang w:eastAsia="zh-CN"/>
        </w:rPr>
        <w:t>主要用于</w:t>
      </w:r>
      <w:r>
        <w:rPr>
          <w:rFonts w:hint="eastAsia" w:ascii="仿宋_GB2312"/>
          <w:bCs/>
          <w:kern w:val="44"/>
          <w:sz w:val="32"/>
          <w:szCs w:val="32"/>
          <w:highlight w:val="none"/>
          <w:lang w:eastAsia="zh-CN"/>
        </w:rPr>
        <w:t>生育托育奖励和免费无创产前基因检测。</w:t>
      </w:r>
    </w:p>
    <w:p w14:paraId="3B702628">
      <w:pPr>
        <w:numPr>
          <w:ilvl w:val="0"/>
          <w:numId w:val="1"/>
        </w:numPr>
        <w:ind w:firstLine="640"/>
        <w:jc w:val="both"/>
        <w:rPr>
          <w:rFonts w:hint="eastAsia" w:ascii="仿宋_GB2312"/>
          <w:bCs/>
          <w:kern w:val="44"/>
          <w:sz w:val="32"/>
          <w:szCs w:val="32"/>
          <w:highlight w:val="none"/>
          <w:lang w:eastAsia="zh-CN"/>
        </w:rPr>
      </w:pPr>
      <w:r>
        <w:rPr>
          <w:rFonts w:hint="eastAsia" w:ascii="仿宋_GB2312"/>
          <w:bCs/>
          <w:kern w:val="44"/>
          <w:sz w:val="32"/>
          <w:szCs w:val="32"/>
          <w:highlight w:val="none"/>
          <w:lang w:eastAsia="zh-CN"/>
        </w:rPr>
        <w:t>医疗机构取消药品加成财政专项补助经费项目。</w:t>
      </w:r>
      <w:r>
        <w:rPr>
          <w:rFonts w:hint="eastAsia" w:ascii="仿宋_GB2312"/>
          <w:b w:val="0"/>
          <w:bCs w:val="0"/>
          <w:color w:val="000000"/>
          <w:sz w:val="32"/>
          <w:szCs w:val="32"/>
          <w:highlight w:val="none"/>
          <w:u w:val="none"/>
          <w:lang w:val="en-US" w:eastAsia="zh-CN"/>
        </w:rPr>
        <w:t>预算经费</w:t>
      </w:r>
      <w:r>
        <w:rPr>
          <w:rFonts w:hint="eastAsia" w:ascii="仿宋_GB2312"/>
          <w:b w:val="0"/>
          <w:bCs w:val="0"/>
          <w:kern w:val="44"/>
          <w:sz w:val="32"/>
          <w:szCs w:val="32"/>
          <w:highlight w:val="none"/>
          <w:u w:val="none"/>
          <w:lang w:val="en-US" w:eastAsia="zh-CN"/>
        </w:rPr>
        <w:t>2017</w:t>
      </w:r>
      <w:r>
        <w:rPr>
          <w:rFonts w:hint="eastAsia" w:ascii="仿宋_GB2312" w:eastAsia="仿宋_GB2312"/>
          <w:bCs/>
          <w:kern w:val="44"/>
          <w:sz w:val="32"/>
          <w:szCs w:val="32"/>
          <w:highlight w:val="none"/>
          <w:u w:val="none"/>
          <w:lang w:val="en-US" w:eastAsia="zh-CN"/>
        </w:rPr>
        <w:t>万元</w:t>
      </w:r>
      <w:r>
        <w:rPr>
          <w:rFonts w:hint="eastAsia" w:ascii="仿宋_GB2312"/>
          <w:bCs/>
          <w:kern w:val="44"/>
          <w:sz w:val="32"/>
          <w:szCs w:val="32"/>
          <w:highlight w:val="none"/>
          <w:u w:val="none"/>
          <w:lang w:val="en-US" w:eastAsia="zh-CN"/>
        </w:rPr>
        <w:t>，比上年</w:t>
      </w:r>
      <w:r>
        <w:rPr>
          <w:rFonts w:hint="eastAsia"/>
          <w:u w:val="none"/>
          <w:lang w:val="en-US" w:eastAsia="zh-CN"/>
        </w:rPr>
        <w:t>预算</w:t>
      </w:r>
      <w:r>
        <w:rPr>
          <w:rFonts w:hint="eastAsia" w:ascii="仿宋_GB2312" w:eastAsia="仿宋_GB2312"/>
          <w:bCs/>
          <w:kern w:val="44"/>
          <w:sz w:val="32"/>
          <w:szCs w:val="32"/>
          <w:highlight w:val="none"/>
          <w:u w:val="none"/>
        </w:rPr>
        <w:t>增加</w:t>
      </w:r>
      <w:r>
        <w:rPr>
          <w:rFonts w:hint="eastAsia" w:ascii="仿宋_GB2312"/>
          <w:bCs/>
          <w:kern w:val="44"/>
          <w:sz w:val="32"/>
          <w:szCs w:val="32"/>
          <w:highlight w:val="none"/>
          <w:u w:val="none"/>
          <w:lang w:val="en-US" w:eastAsia="zh-CN"/>
        </w:rPr>
        <w:t>27</w:t>
      </w:r>
      <w:r>
        <w:rPr>
          <w:rFonts w:hint="eastAsia" w:ascii="仿宋_GB2312" w:eastAsia="仿宋_GB2312"/>
          <w:bCs/>
          <w:kern w:val="44"/>
          <w:sz w:val="32"/>
          <w:szCs w:val="32"/>
          <w:highlight w:val="none"/>
          <w:u w:val="none"/>
        </w:rPr>
        <w:t>万元，增长</w:t>
      </w:r>
      <w:r>
        <w:rPr>
          <w:rFonts w:hint="eastAsia" w:ascii="仿宋_GB2312"/>
          <w:bCs/>
          <w:kern w:val="44"/>
          <w:sz w:val="32"/>
          <w:szCs w:val="32"/>
          <w:highlight w:val="none"/>
          <w:u w:val="none"/>
          <w:lang w:val="en-US" w:eastAsia="zh-CN"/>
        </w:rPr>
        <w:t>1.36</w:t>
      </w:r>
      <w:r>
        <w:rPr>
          <w:rFonts w:hint="eastAsia" w:ascii="仿宋_GB2312" w:eastAsia="仿宋_GB2312"/>
          <w:bCs/>
          <w:kern w:val="44"/>
          <w:sz w:val="32"/>
          <w:szCs w:val="32"/>
          <w:highlight w:val="none"/>
          <w:u w:val="none"/>
        </w:rPr>
        <w:t>%。</w:t>
      </w:r>
      <w:r>
        <w:rPr>
          <w:rFonts w:hint="eastAsia" w:ascii="仿宋_GB2312"/>
          <w:bCs/>
          <w:kern w:val="44"/>
          <w:sz w:val="32"/>
          <w:szCs w:val="32"/>
          <w:highlight w:val="none"/>
          <w:u w:val="none"/>
          <w:lang w:val="en-US" w:eastAsia="zh-CN"/>
        </w:rPr>
        <w:t>主要用于</w:t>
      </w:r>
      <w:r>
        <w:rPr>
          <w:rFonts w:hint="eastAsia" w:ascii="仿宋" w:hAnsi="仿宋" w:eastAsia="仿宋"/>
          <w:sz w:val="32"/>
          <w:szCs w:val="32"/>
          <w:u w:val="none"/>
        </w:rPr>
        <w:t>公立医院落实医改目标，保障</w:t>
      </w:r>
      <w:r>
        <w:rPr>
          <w:rFonts w:hint="eastAsia" w:ascii="仿宋" w:hAnsi="仿宋" w:eastAsia="仿宋"/>
          <w:sz w:val="32"/>
          <w:szCs w:val="32"/>
          <w:u w:val="none"/>
          <w:lang w:eastAsia="zh-CN"/>
        </w:rPr>
        <w:t>医疗机构</w:t>
      </w:r>
      <w:r>
        <w:rPr>
          <w:rFonts w:hint="eastAsia" w:ascii="仿宋" w:hAnsi="仿宋" w:eastAsia="仿宋"/>
          <w:sz w:val="32"/>
          <w:szCs w:val="32"/>
          <w:u w:val="none"/>
        </w:rPr>
        <w:t>运行</w:t>
      </w:r>
      <w:r>
        <w:rPr>
          <w:rFonts w:hint="eastAsia" w:ascii="仿宋_GB2312"/>
          <w:bCs/>
          <w:kern w:val="44"/>
          <w:sz w:val="32"/>
          <w:szCs w:val="32"/>
          <w:highlight w:val="none"/>
          <w:u w:val="none"/>
          <w:lang w:eastAsia="zh-CN"/>
        </w:rPr>
        <w:t>。</w:t>
      </w:r>
    </w:p>
    <w:p w14:paraId="6F765B41">
      <w:pPr>
        <w:numPr>
          <w:ilvl w:val="0"/>
          <w:numId w:val="1"/>
        </w:numPr>
        <w:ind w:firstLine="640"/>
        <w:jc w:val="both"/>
        <w:rPr>
          <w:rFonts w:hint="eastAsia" w:ascii="仿宋_GB2312"/>
          <w:bCs/>
          <w:kern w:val="44"/>
          <w:sz w:val="32"/>
          <w:szCs w:val="32"/>
          <w:highlight w:val="none"/>
          <w:lang w:eastAsia="zh-CN"/>
        </w:rPr>
      </w:pPr>
      <w:r>
        <w:rPr>
          <w:rFonts w:hint="eastAsia" w:ascii="仿宋_GB2312"/>
          <w:bCs/>
          <w:kern w:val="44"/>
          <w:sz w:val="32"/>
          <w:szCs w:val="32"/>
          <w:highlight w:val="none"/>
          <w:lang w:eastAsia="zh-CN"/>
        </w:rPr>
        <w:t>血防经费项目。</w:t>
      </w:r>
      <w:r>
        <w:rPr>
          <w:rFonts w:hint="eastAsia" w:ascii="仿宋_GB2312"/>
          <w:b w:val="0"/>
          <w:bCs w:val="0"/>
          <w:color w:val="000000"/>
          <w:sz w:val="32"/>
          <w:szCs w:val="32"/>
          <w:highlight w:val="none"/>
          <w:u w:val="none"/>
          <w:lang w:val="en-US" w:eastAsia="zh-CN"/>
        </w:rPr>
        <w:t>预算经费</w:t>
      </w:r>
      <w:r>
        <w:rPr>
          <w:rFonts w:hint="eastAsia" w:ascii="仿宋_GB2312"/>
          <w:b w:val="0"/>
          <w:bCs w:val="0"/>
          <w:kern w:val="44"/>
          <w:sz w:val="32"/>
          <w:szCs w:val="32"/>
          <w:highlight w:val="none"/>
          <w:u w:val="none"/>
          <w:lang w:val="en-US" w:eastAsia="zh-CN"/>
        </w:rPr>
        <w:t>40</w:t>
      </w:r>
      <w:r>
        <w:rPr>
          <w:rFonts w:hint="eastAsia" w:ascii="仿宋_GB2312" w:eastAsia="仿宋_GB2312"/>
          <w:bCs/>
          <w:kern w:val="44"/>
          <w:sz w:val="32"/>
          <w:szCs w:val="32"/>
          <w:highlight w:val="none"/>
          <w:u w:val="none"/>
          <w:lang w:val="en-US" w:eastAsia="zh-CN"/>
        </w:rPr>
        <w:t>万元</w:t>
      </w:r>
      <w:r>
        <w:rPr>
          <w:rFonts w:hint="eastAsia" w:ascii="仿宋_GB2312"/>
          <w:bCs/>
          <w:kern w:val="44"/>
          <w:sz w:val="32"/>
          <w:szCs w:val="32"/>
          <w:highlight w:val="none"/>
          <w:u w:val="none"/>
          <w:lang w:val="en-US" w:eastAsia="zh-CN"/>
        </w:rPr>
        <w:t>，比上年</w:t>
      </w:r>
      <w:r>
        <w:rPr>
          <w:rFonts w:hint="eastAsia"/>
          <w:u w:val="none"/>
          <w:lang w:val="en-US" w:eastAsia="zh-CN"/>
        </w:rPr>
        <w:t>预算</w:t>
      </w:r>
      <w:r>
        <w:rPr>
          <w:rFonts w:hint="eastAsia" w:ascii="仿宋_GB2312"/>
          <w:bCs/>
          <w:kern w:val="44"/>
          <w:sz w:val="32"/>
          <w:szCs w:val="32"/>
          <w:highlight w:val="none"/>
          <w:u w:val="none"/>
          <w:lang w:eastAsia="zh-CN"/>
        </w:rPr>
        <w:t>增加</w:t>
      </w:r>
      <w:r>
        <w:rPr>
          <w:rFonts w:hint="eastAsia" w:ascii="仿宋_GB2312"/>
          <w:bCs/>
          <w:kern w:val="44"/>
          <w:sz w:val="32"/>
          <w:szCs w:val="32"/>
          <w:highlight w:val="none"/>
          <w:u w:val="none"/>
          <w:lang w:val="en-US" w:eastAsia="zh-CN"/>
        </w:rPr>
        <w:t>0</w:t>
      </w:r>
      <w:r>
        <w:rPr>
          <w:rFonts w:hint="eastAsia" w:ascii="仿宋_GB2312" w:eastAsia="仿宋_GB2312"/>
          <w:bCs/>
          <w:kern w:val="44"/>
          <w:sz w:val="32"/>
          <w:szCs w:val="32"/>
          <w:highlight w:val="none"/>
          <w:u w:val="none"/>
        </w:rPr>
        <w:t>万元，</w:t>
      </w:r>
      <w:r>
        <w:rPr>
          <w:rFonts w:hint="eastAsia" w:ascii="仿宋_GB2312"/>
          <w:bCs/>
          <w:kern w:val="44"/>
          <w:sz w:val="32"/>
          <w:szCs w:val="32"/>
          <w:highlight w:val="none"/>
          <w:u w:val="none"/>
          <w:lang w:eastAsia="zh-CN"/>
        </w:rPr>
        <w:t>增长</w:t>
      </w:r>
      <w:r>
        <w:rPr>
          <w:rFonts w:hint="eastAsia" w:ascii="仿宋_GB2312"/>
          <w:bCs/>
          <w:kern w:val="44"/>
          <w:sz w:val="32"/>
          <w:szCs w:val="32"/>
          <w:highlight w:val="none"/>
          <w:u w:val="none"/>
          <w:lang w:val="en-US" w:eastAsia="zh-CN"/>
        </w:rPr>
        <w:t>0</w:t>
      </w:r>
      <w:r>
        <w:rPr>
          <w:rFonts w:hint="eastAsia" w:ascii="仿宋_GB2312" w:eastAsia="仿宋_GB2312"/>
          <w:bCs/>
          <w:kern w:val="44"/>
          <w:sz w:val="32"/>
          <w:szCs w:val="32"/>
          <w:highlight w:val="none"/>
          <w:u w:val="none"/>
        </w:rPr>
        <w:t>%。</w:t>
      </w:r>
      <w:r>
        <w:rPr>
          <w:rFonts w:hint="eastAsia" w:ascii="仿宋_GB2312"/>
          <w:bCs/>
          <w:kern w:val="44"/>
          <w:sz w:val="32"/>
          <w:szCs w:val="32"/>
          <w:highlight w:val="none"/>
          <w:u w:val="none"/>
          <w:lang w:val="en-US" w:eastAsia="zh-CN"/>
        </w:rPr>
        <w:t>主要用于</w:t>
      </w:r>
      <w:r>
        <w:rPr>
          <w:rFonts w:hint="eastAsia" w:ascii="仿宋" w:hAnsi="仿宋" w:eastAsia="仿宋"/>
          <w:sz w:val="32"/>
          <w:szCs w:val="32"/>
          <w:u w:val="none"/>
        </w:rPr>
        <w:t>各城区查螺、灭螺，查病、治病，小型灭螺工程和健康教育等</w:t>
      </w:r>
      <w:r>
        <w:rPr>
          <w:rFonts w:hint="eastAsia" w:ascii="仿宋" w:hAnsi="仿宋" w:eastAsia="仿宋"/>
          <w:sz w:val="32"/>
          <w:szCs w:val="32"/>
          <w:u w:val="none"/>
          <w:lang w:eastAsia="zh-CN"/>
        </w:rPr>
        <w:t>，</w:t>
      </w:r>
      <w:r>
        <w:rPr>
          <w:rFonts w:hint="eastAsia" w:ascii="仿宋" w:hAnsi="仿宋" w:eastAsia="仿宋"/>
          <w:sz w:val="32"/>
          <w:szCs w:val="32"/>
          <w:u w:val="none"/>
        </w:rPr>
        <w:t>购买灭螺药品、血防宣传教育、防护器具、血防能力建设、日常公用支出等。</w:t>
      </w:r>
    </w:p>
    <w:p w14:paraId="059B3D5E">
      <w:pPr>
        <w:numPr>
          <w:ilvl w:val="0"/>
          <w:numId w:val="1"/>
        </w:numPr>
        <w:ind w:firstLine="640"/>
        <w:jc w:val="both"/>
        <w:rPr>
          <w:rFonts w:hint="eastAsia" w:ascii="仿宋_GB2312"/>
          <w:bCs/>
          <w:kern w:val="44"/>
          <w:sz w:val="32"/>
          <w:szCs w:val="32"/>
          <w:highlight w:val="none"/>
          <w:lang w:eastAsia="zh-CN"/>
        </w:rPr>
      </w:pPr>
      <w:r>
        <w:rPr>
          <w:rFonts w:hint="eastAsia" w:ascii="仿宋_GB2312"/>
          <w:bCs/>
          <w:kern w:val="44"/>
          <w:sz w:val="32"/>
          <w:szCs w:val="32"/>
          <w:highlight w:val="none"/>
          <w:lang w:eastAsia="zh-CN"/>
        </w:rPr>
        <w:t>应急物资储备库房租项目。</w:t>
      </w:r>
      <w:r>
        <w:rPr>
          <w:rFonts w:hint="eastAsia" w:ascii="仿宋_GB2312"/>
          <w:b w:val="0"/>
          <w:bCs w:val="0"/>
          <w:color w:val="000000"/>
          <w:sz w:val="32"/>
          <w:szCs w:val="32"/>
          <w:highlight w:val="none"/>
          <w:u w:val="none"/>
          <w:lang w:val="en-US" w:eastAsia="zh-CN"/>
        </w:rPr>
        <w:t>预算经费</w:t>
      </w:r>
      <w:r>
        <w:rPr>
          <w:rFonts w:hint="eastAsia" w:ascii="仿宋_GB2312"/>
          <w:b w:val="0"/>
          <w:bCs w:val="0"/>
          <w:kern w:val="44"/>
          <w:sz w:val="32"/>
          <w:szCs w:val="32"/>
          <w:highlight w:val="none"/>
          <w:u w:val="none"/>
          <w:lang w:val="en-US" w:eastAsia="zh-CN"/>
        </w:rPr>
        <w:t>50</w:t>
      </w:r>
      <w:r>
        <w:rPr>
          <w:rFonts w:hint="eastAsia" w:ascii="仿宋_GB2312" w:eastAsia="仿宋_GB2312"/>
          <w:bCs/>
          <w:kern w:val="44"/>
          <w:sz w:val="32"/>
          <w:szCs w:val="32"/>
          <w:highlight w:val="none"/>
          <w:u w:val="none"/>
          <w:lang w:val="en-US" w:eastAsia="zh-CN"/>
        </w:rPr>
        <w:t>万元</w:t>
      </w:r>
      <w:r>
        <w:rPr>
          <w:rFonts w:hint="eastAsia" w:ascii="仿宋_GB2312"/>
          <w:bCs/>
          <w:kern w:val="44"/>
          <w:sz w:val="32"/>
          <w:szCs w:val="32"/>
          <w:highlight w:val="none"/>
          <w:u w:val="none"/>
          <w:lang w:val="en-US" w:eastAsia="zh-CN"/>
        </w:rPr>
        <w:t>，比上年</w:t>
      </w:r>
      <w:r>
        <w:rPr>
          <w:rFonts w:hint="eastAsia"/>
          <w:u w:val="none"/>
          <w:lang w:val="en-US" w:eastAsia="zh-CN"/>
        </w:rPr>
        <w:t>预算</w:t>
      </w:r>
      <w:r>
        <w:rPr>
          <w:rFonts w:hint="eastAsia" w:ascii="仿宋_GB2312" w:eastAsia="仿宋_GB2312"/>
          <w:bCs/>
          <w:kern w:val="44"/>
          <w:sz w:val="32"/>
          <w:szCs w:val="32"/>
          <w:highlight w:val="none"/>
          <w:u w:val="none"/>
        </w:rPr>
        <w:t>增加</w:t>
      </w:r>
      <w:r>
        <w:rPr>
          <w:rFonts w:hint="eastAsia" w:ascii="仿宋_GB2312"/>
          <w:bCs/>
          <w:kern w:val="44"/>
          <w:sz w:val="32"/>
          <w:szCs w:val="32"/>
          <w:highlight w:val="none"/>
          <w:u w:val="none"/>
          <w:lang w:val="en-US" w:eastAsia="zh-CN"/>
        </w:rPr>
        <w:t>0</w:t>
      </w:r>
      <w:r>
        <w:rPr>
          <w:rFonts w:hint="eastAsia" w:ascii="仿宋_GB2312" w:eastAsia="仿宋_GB2312"/>
          <w:bCs/>
          <w:kern w:val="44"/>
          <w:sz w:val="32"/>
          <w:szCs w:val="32"/>
          <w:highlight w:val="none"/>
          <w:u w:val="none"/>
        </w:rPr>
        <w:t>万元，增长</w:t>
      </w:r>
      <w:r>
        <w:rPr>
          <w:rFonts w:hint="eastAsia" w:ascii="仿宋_GB2312"/>
          <w:bCs/>
          <w:kern w:val="44"/>
          <w:sz w:val="32"/>
          <w:szCs w:val="32"/>
          <w:highlight w:val="none"/>
          <w:u w:val="none"/>
          <w:lang w:val="en-US" w:eastAsia="zh-CN"/>
        </w:rPr>
        <w:t>0</w:t>
      </w:r>
      <w:r>
        <w:rPr>
          <w:rFonts w:hint="eastAsia" w:ascii="仿宋_GB2312" w:eastAsia="仿宋_GB2312"/>
          <w:bCs/>
          <w:kern w:val="44"/>
          <w:sz w:val="32"/>
          <w:szCs w:val="32"/>
          <w:highlight w:val="none"/>
          <w:u w:val="none"/>
        </w:rPr>
        <w:t>%。</w:t>
      </w:r>
      <w:r>
        <w:rPr>
          <w:rFonts w:hint="eastAsia" w:ascii="仿宋_GB2312"/>
          <w:bCs/>
          <w:kern w:val="44"/>
          <w:sz w:val="32"/>
          <w:szCs w:val="32"/>
          <w:highlight w:val="none"/>
          <w:u w:val="none"/>
          <w:lang w:val="en-US" w:eastAsia="zh-CN"/>
        </w:rPr>
        <w:t>主要用于</w:t>
      </w:r>
      <w:r>
        <w:rPr>
          <w:rFonts w:hint="eastAsia" w:ascii="仿宋" w:hAnsi="仿宋" w:eastAsia="仿宋"/>
          <w:sz w:val="32"/>
          <w:szCs w:val="32"/>
          <w:u w:val="none"/>
          <w:lang w:val="en-US" w:eastAsia="zh-CN"/>
        </w:rPr>
        <w:t>支付租用的国药（黄石）公司医疗应急物资储备仓库的年租金。</w:t>
      </w:r>
    </w:p>
    <w:p w14:paraId="0B57C0CA">
      <w:pPr>
        <w:numPr>
          <w:ilvl w:val="0"/>
          <w:numId w:val="1"/>
        </w:numPr>
        <w:ind w:firstLine="640"/>
        <w:jc w:val="both"/>
        <w:rPr>
          <w:rFonts w:hint="eastAsia" w:ascii="仿宋_GB2312"/>
          <w:bCs/>
          <w:kern w:val="44"/>
          <w:sz w:val="32"/>
          <w:szCs w:val="32"/>
          <w:highlight w:val="none"/>
          <w:lang w:eastAsia="zh-CN"/>
        </w:rPr>
      </w:pPr>
      <w:r>
        <w:rPr>
          <w:rFonts w:hint="eastAsia" w:ascii="仿宋_GB2312"/>
          <w:bCs/>
          <w:kern w:val="44"/>
          <w:sz w:val="32"/>
          <w:szCs w:val="32"/>
          <w:highlight w:val="none"/>
          <w:lang w:eastAsia="zh-CN"/>
        </w:rPr>
        <w:t>卫生健康管理服务经费项目。</w:t>
      </w:r>
      <w:r>
        <w:rPr>
          <w:rFonts w:hint="eastAsia" w:ascii="仿宋_GB2312"/>
          <w:b w:val="0"/>
          <w:bCs w:val="0"/>
          <w:color w:val="000000"/>
          <w:sz w:val="32"/>
          <w:szCs w:val="32"/>
          <w:highlight w:val="none"/>
          <w:u w:val="none"/>
          <w:lang w:val="en-US" w:eastAsia="zh-CN"/>
        </w:rPr>
        <w:t>预算经费</w:t>
      </w:r>
      <w:r>
        <w:rPr>
          <w:rFonts w:hint="eastAsia" w:ascii="仿宋_GB2312"/>
          <w:b w:val="0"/>
          <w:bCs w:val="0"/>
          <w:kern w:val="44"/>
          <w:sz w:val="32"/>
          <w:szCs w:val="32"/>
          <w:highlight w:val="none"/>
          <w:u w:val="none"/>
          <w:lang w:val="en-US" w:eastAsia="zh-CN"/>
        </w:rPr>
        <w:t>430</w:t>
      </w:r>
      <w:r>
        <w:rPr>
          <w:rFonts w:hint="eastAsia" w:ascii="仿宋_GB2312" w:eastAsia="仿宋_GB2312"/>
          <w:bCs/>
          <w:kern w:val="44"/>
          <w:sz w:val="32"/>
          <w:szCs w:val="32"/>
          <w:highlight w:val="none"/>
          <w:u w:val="none"/>
          <w:lang w:val="en-US" w:eastAsia="zh-CN"/>
        </w:rPr>
        <w:t>万元</w:t>
      </w:r>
      <w:r>
        <w:rPr>
          <w:rFonts w:hint="eastAsia" w:ascii="仿宋_GB2312"/>
          <w:bCs/>
          <w:kern w:val="44"/>
          <w:sz w:val="32"/>
          <w:szCs w:val="32"/>
          <w:highlight w:val="none"/>
          <w:u w:val="none"/>
          <w:lang w:val="en-US" w:eastAsia="zh-CN"/>
        </w:rPr>
        <w:t>，比上年</w:t>
      </w:r>
      <w:r>
        <w:rPr>
          <w:rFonts w:hint="eastAsia"/>
          <w:u w:val="none"/>
          <w:lang w:val="en-US" w:eastAsia="zh-CN"/>
        </w:rPr>
        <w:t>预算</w:t>
      </w:r>
      <w:r>
        <w:rPr>
          <w:rFonts w:hint="eastAsia" w:ascii="仿宋_GB2312" w:eastAsia="仿宋_GB2312"/>
          <w:bCs/>
          <w:kern w:val="44"/>
          <w:sz w:val="32"/>
          <w:szCs w:val="32"/>
          <w:highlight w:val="none"/>
          <w:u w:val="none"/>
        </w:rPr>
        <w:t>增加</w:t>
      </w:r>
      <w:r>
        <w:rPr>
          <w:rFonts w:hint="eastAsia" w:ascii="仿宋_GB2312"/>
          <w:bCs/>
          <w:kern w:val="44"/>
          <w:sz w:val="32"/>
          <w:szCs w:val="32"/>
          <w:highlight w:val="none"/>
          <w:u w:val="none"/>
          <w:lang w:val="en-US" w:eastAsia="zh-CN"/>
        </w:rPr>
        <w:t>0</w:t>
      </w:r>
      <w:r>
        <w:rPr>
          <w:rFonts w:hint="eastAsia" w:ascii="仿宋_GB2312" w:eastAsia="仿宋_GB2312"/>
          <w:bCs/>
          <w:kern w:val="44"/>
          <w:sz w:val="32"/>
          <w:szCs w:val="32"/>
          <w:highlight w:val="none"/>
          <w:u w:val="none"/>
        </w:rPr>
        <w:t>万元，增长</w:t>
      </w:r>
      <w:r>
        <w:rPr>
          <w:rFonts w:hint="eastAsia" w:ascii="仿宋_GB2312"/>
          <w:bCs/>
          <w:kern w:val="44"/>
          <w:sz w:val="32"/>
          <w:szCs w:val="32"/>
          <w:highlight w:val="none"/>
          <w:u w:val="none"/>
          <w:lang w:val="en-US" w:eastAsia="zh-CN"/>
        </w:rPr>
        <w:t>0</w:t>
      </w:r>
      <w:r>
        <w:rPr>
          <w:rFonts w:hint="eastAsia" w:ascii="仿宋_GB2312" w:eastAsia="仿宋_GB2312"/>
          <w:bCs/>
          <w:kern w:val="44"/>
          <w:sz w:val="32"/>
          <w:szCs w:val="32"/>
          <w:highlight w:val="none"/>
          <w:u w:val="none"/>
        </w:rPr>
        <w:t>%。</w:t>
      </w:r>
      <w:r>
        <w:rPr>
          <w:rFonts w:hint="eastAsia" w:ascii="仿宋_GB2312"/>
          <w:bCs/>
          <w:kern w:val="44"/>
          <w:sz w:val="32"/>
          <w:szCs w:val="32"/>
          <w:highlight w:val="none"/>
          <w:u w:val="none"/>
          <w:lang w:val="en-US" w:eastAsia="zh-CN"/>
        </w:rPr>
        <w:t>主要用于深入推进计生转型发展，重点保障计生两扶、监督执法、住院护理险、计生助你行等工作；保障职称评审等工作正常开展。</w:t>
      </w:r>
    </w:p>
    <w:p w14:paraId="6CED1E0E">
      <w:pPr>
        <w:numPr>
          <w:ilvl w:val="0"/>
          <w:numId w:val="1"/>
        </w:numPr>
        <w:ind w:firstLine="640"/>
        <w:jc w:val="both"/>
        <w:rPr>
          <w:rFonts w:hint="eastAsia" w:ascii="仿宋_GB2312"/>
          <w:bCs/>
          <w:kern w:val="44"/>
          <w:sz w:val="32"/>
          <w:szCs w:val="32"/>
          <w:highlight w:val="none"/>
          <w:lang w:eastAsia="zh-CN"/>
        </w:rPr>
      </w:pPr>
      <w:r>
        <w:rPr>
          <w:rFonts w:hint="eastAsia" w:ascii="仿宋_GB2312"/>
          <w:bCs/>
          <w:kern w:val="44"/>
          <w:sz w:val="32"/>
          <w:szCs w:val="32"/>
          <w:highlight w:val="none"/>
          <w:lang w:eastAsia="zh-CN"/>
        </w:rPr>
        <w:t>黄石市干部保健工作经费项目。</w:t>
      </w:r>
      <w:r>
        <w:rPr>
          <w:rFonts w:hint="eastAsia" w:ascii="仿宋_GB2312"/>
          <w:b w:val="0"/>
          <w:bCs w:val="0"/>
          <w:color w:val="000000"/>
          <w:sz w:val="32"/>
          <w:szCs w:val="32"/>
          <w:highlight w:val="none"/>
          <w:u w:val="none"/>
          <w:lang w:val="en-US" w:eastAsia="zh-CN"/>
        </w:rPr>
        <w:t>预算经费</w:t>
      </w:r>
      <w:r>
        <w:rPr>
          <w:rFonts w:hint="eastAsia" w:ascii="仿宋_GB2312"/>
          <w:b w:val="0"/>
          <w:bCs w:val="0"/>
          <w:kern w:val="44"/>
          <w:sz w:val="32"/>
          <w:szCs w:val="32"/>
          <w:highlight w:val="none"/>
          <w:u w:val="none"/>
          <w:lang w:val="en-US" w:eastAsia="zh-CN"/>
        </w:rPr>
        <w:t>30</w:t>
      </w:r>
      <w:r>
        <w:rPr>
          <w:rFonts w:hint="eastAsia" w:ascii="仿宋_GB2312" w:eastAsia="仿宋_GB2312"/>
          <w:bCs/>
          <w:kern w:val="44"/>
          <w:sz w:val="32"/>
          <w:szCs w:val="32"/>
          <w:highlight w:val="none"/>
          <w:u w:val="none"/>
          <w:lang w:val="en-US" w:eastAsia="zh-CN"/>
        </w:rPr>
        <w:t>万元</w:t>
      </w:r>
      <w:r>
        <w:rPr>
          <w:rFonts w:hint="eastAsia" w:ascii="仿宋_GB2312"/>
          <w:bCs/>
          <w:kern w:val="44"/>
          <w:sz w:val="32"/>
          <w:szCs w:val="32"/>
          <w:highlight w:val="none"/>
          <w:u w:val="none"/>
          <w:lang w:val="en-US" w:eastAsia="zh-CN"/>
        </w:rPr>
        <w:t>，比上年</w:t>
      </w:r>
      <w:r>
        <w:rPr>
          <w:rFonts w:hint="eastAsia"/>
          <w:u w:val="none"/>
          <w:lang w:val="en-US" w:eastAsia="zh-CN"/>
        </w:rPr>
        <w:t>预算</w:t>
      </w:r>
      <w:r>
        <w:rPr>
          <w:rFonts w:hint="eastAsia" w:ascii="仿宋_GB2312" w:eastAsia="仿宋_GB2312"/>
          <w:bCs/>
          <w:kern w:val="44"/>
          <w:sz w:val="32"/>
          <w:szCs w:val="32"/>
          <w:highlight w:val="none"/>
          <w:u w:val="none"/>
        </w:rPr>
        <w:t>增加</w:t>
      </w:r>
      <w:r>
        <w:rPr>
          <w:rFonts w:hint="eastAsia" w:ascii="仿宋_GB2312"/>
          <w:bCs/>
          <w:kern w:val="44"/>
          <w:sz w:val="32"/>
          <w:szCs w:val="32"/>
          <w:highlight w:val="none"/>
          <w:u w:val="none"/>
          <w:lang w:val="en-US" w:eastAsia="zh-CN"/>
        </w:rPr>
        <w:t>0</w:t>
      </w:r>
      <w:r>
        <w:rPr>
          <w:rFonts w:hint="eastAsia" w:ascii="仿宋_GB2312" w:eastAsia="仿宋_GB2312"/>
          <w:bCs/>
          <w:kern w:val="44"/>
          <w:sz w:val="32"/>
          <w:szCs w:val="32"/>
          <w:highlight w:val="none"/>
          <w:u w:val="none"/>
        </w:rPr>
        <w:t>万元，增长</w:t>
      </w:r>
      <w:r>
        <w:rPr>
          <w:rFonts w:hint="eastAsia" w:ascii="仿宋_GB2312"/>
          <w:bCs/>
          <w:kern w:val="44"/>
          <w:sz w:val="32"/>
          <w:szCs w:val="32"/>
          <w:highlight w:val="none"/>
          <w:u w:val="none"/>
          <w:lang w:val="en-US" w:eastAsia="zh-CN"/>
        </w:rPr>
        <w:t>0</w:t>
      </w:r>
      <w:r>
        <w:rPr>
          <w:rFonts w:hint="eastAsia" w:ascii="仿宋_GB2312" w:eastAsia="仿宋_GB2312"/>
          <w:bCs/>
          <w:kern w:val="44"/>
          <w:sz w:val="32"/>
          <w:szCs w:val="32"/>
          <w:highlight w:val="none"/>
          <w:u w:val="none"/>
        </w:rPr>
        <w:t>%。</w:t>
      </w:r>
      <w:r>
        <w:rPr>
          <w:rFonts w:hint="eastAsia" w:ascii="仿宋_GB2312"/>
          <w:bCs/>
          <w:kern w:val="44"/>
          <w:sz w:val="32"/>
          <w:szCs w:val="32"/>
          <w:highlight w:val="none"/>
          <w:u w:val="none"/>
          <w:lang w:val="en-US" w:eastAsia="zh-CN"/>
        </w:rPr>
        <w:t>主要用于</w:t>
      </w:r>
      <w:r>
        <w:rPr>
          <w:rFonts w:hint="eastAsia" w:ascii="仿宋" w:hAnsi="仿宋" w:eastAsia="仿宋" w:cs="仿宋"/>
          <w:bCs/>
          <w:sz w:val="32"/>
          <w:szCs w:val="32"/>
          <w:u w:val="none"/>
        </w:rPr>
        <w:t>上级领导在黄的医疗保健工作</w:t>
      </w:r>
      <w:r>
        <w:rPr>
          <w:rFonts w:hint="eastAsia" w:ascii="仿宋" w:hAnsi="仿宋" w:eastAsia="仿宋" w:cs="仿宋"/>
          <w:bCs/>
          <w:sz w:val="32"/>
          <w:szCs w:val="32"/>
          <w:u w:val="none"/>
          <w:lang w:eastAsia="zh-CN"/>
        </w:rPr>
        <w:t>、</w:t>
      </w:r>
      <w:r>
        <w:rPr>
          <w:rFonts w:hint="eastAsia" w:ascii="仿宋" w:hAnsi="仿宋" w:eastAsia="仿宋" w:cs="仿宋"/>
          <w:bCs/>
          <w:sz w:val="32"/>
          <w:szCs w:val="32"/>
          <w:u w:val="none"/>
        </w:rPr>
        <w:t>市委保健委员会确定的保健对象的医疗保健工作</w:t>
      </w:r>
      <w:r>
        <w:rPr>
          <w:rFonts w:hint="eastAsia" w:ascii="仿宋" w:hAnsi="仿宋" w:eastAsia="仿宋" w:cs="仿宋"/>
          <w:bCs/>
          <w:sz w:val="32"/>
          <w:szCs w:val="32"/>
          <w:u w:val="none"/>
          <w:lang w:eastAsia="zh-CN"/>
        </w:rPr>
        <w:t>、</w:t>
      </w:r>
      <w:r>
        <w:rPr>
          <w:rFonts w:hint="eastAsia" w:ascii="仿宋" w:hAnsi="仿宋" w:eastAsia="仿宋" w:cs="仿宋"/>
          <w:bCs/>
          <w:sz w:val="32"/>
          <w:szCs w:val="32"/>
          <w:u w:val="none"/>
        </w:rPr>
        <w:t>高级外宾、高级专家在黄的医疗安排</w:t>
      </w:r>
      <w:r>
        <w:rPr>
          <w:rFonts w:hint="eastAsia" w:ascii="仿宋" w:hAnsi="仿宋" w:eastAsia="仿宋" w:cs="仿宋"/>
          <w:bCs/>
          <w:sz w:val="32"/>
          <w:szCs w:val="32"/>
          <w:u w:val="none"/>
          <w:lang w:eastAsia="zh-CN"/>
        </w:rPr>
        <w:t>、</w:t>
      </w:r>
      <w:r>
        <w:rPr>
          <w:rFonts w:hint="eastAsia" w:ascii="仿宋" w:hAnsi="仿宋" w:eastAsia="仿宋" w:cs="仿宋"/>
          <w:bCs/>
          <w:sz w:val="32"/>
          <w:szCs w:val="32"/>
          <w:u w:val="none"/>
        </w:rPr>
        <w:t>全市重大会议和重大活动的医疗卫</w:t>
      </w:r>
      <w:r>
        <w:rPr>
          <w:rFonts w:hint="eastAsia" w:ascii="仿宋" w:hAnsi="仿宋" w:eastAsia="仿宋"/>
          <w:sz w:val="32"/>
          <w:szCs w:val="32"/>
          <w:u w:val="none"/>
        </w:rPr>
        <w:t>生保障工作</w:t>
      </w:r>
      <w:r>
        <w:rPr>
          <w:rFonts w:hint="eastAsia" w:ascii="仿宋" w:hAnsi="仿宋" w:eastAsia="仿宋"/>
          <w:sz w:val="32"/>
          <w:szCs w:val="32"/>
          <w:u w:val="none"/>
          <w:lang w:eastAsia="zh-CN"/>
        </w:rPr>
        <w:t>。</w:t>
      </w:r>
    </w:p>
    <w:p w14:paraId="1CCB7A91">
      <w:pPr>
        <w:adjustRightInd w:val="0"/>
        <w:snapToGrid w:val="0"/>
        <w:spacing w:line="580" w:lineRule="atLeast"/>
        <w:ind w:firstLine="643" w:firstLineChars="200"/>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第四部分  机关运行经费安排情况说明</w:t>
      </w:r>
    </w:p>
    <w:p w14:paraId="48A9C64D">
      <w:pPr>
        <w:adjustRightInd w:val="0"/>
        <w:snapToGrid w:val="0"/>
        <w:spacing w:line="580" w:lineRule="atLeast"/>
        <w:ind w:firstLine="640" w:firstLineChars="200"/>
        <w:rPr>
          <w:rFonts w:hint="eastAsia"/>
          <w:lang w:val="en-US" w:eastAsia="zh-CN"/>
        </w:rPr>
      </w:pPr>
      <w:r>
        <w:rPr>
          <w:rFonts w:hint="eastAsia" w:ascii="黑体" w:hAnsi="黑体" w:eastAsia="黑体" w:cs="黑体"/>
          <w:b w:val="0"/>
          <w:bCs w:val="0"/>
          <w:sz w:val="32"/>
          <w:szCs w:val="32"/>
          <w:u w:val="none"/>
          <w:lang w:val="en-US" w:eastAsia="zh-CN"/>
        </w:rPr>
        <w:t>2024</w:t>
      </w:r>
      <w:r>
        <w:rPr>
          <w:rFonts w:hint="eastAsia"/>
          <w:lang w:val="en-US" w:eastAsia="zh-CN"/>
        </w:rPr>
        <w:t>年度机关运行经费机关运行经费预算总额为124.89万元，比上年减少15.55万元，下降11.07%，减少原因主要是：</w:t>
      </w:r>
      <w:r>
        <w:rPr>
          <w:rFonts w:hint="eastAsia" w:ascii="仿宋" w:hAnsi="仿宋" w:eastAsia="仿宋" w:cs="Times New Roman"/>
          <w:sz w:val="32"/>
          <w:szCs w:val="32"/>
          <w:u w:val="none"/>
          <w:lang w:val="en-US" w:eastAsia="zh-CN"/>
        </w:rPr>
        <w:t>在职人数减少</w:t>
      </w:r>
      <w:r>
        <w:rPr>
          <w:rFonts w:hint="eastAsia"/>
          <w:lang w:val="en-US" w:eastAsia="zh-CN"/>
        </w:rPr>
        <w:t>。</w:t>
      </w:r>
    </w:p>
    <w:p w14:paraId="29B90FBA">
      <w:pPr>
        <w:adjustRightInd w:val="0"/>
        <w:snapToGrid w:val="0"/>
        <w:spacing w:line="580" w:lineRule="atLeast"/>
        <w:ind w:firstLine="640" w:firstLineChars="200"/>
        <w:rPr>
          <w:rFonts w:hint="eastAsia" w:ascii="黑体" w:hAnsi="黑体" w:eastAsia="黑体" w:cs="黑体"/>
          <w:b/>
          <w:bCs/>
          <w:sz w:val="32"/>
          <w:szCs w:val="32"/>
          <w:u w:val="none"/>
          <w:lang w:val="en-US" w:eastAsia="zh-CN"/>
        </w:rPr>
      </w:pPr>
      <w:r>
        <w:rPr>
          <w:rFonts w:hint="eastAsia" w:ascii="黑体" w:hAnsi="黑体" w:eastAsia="黑体" w:cs="黑体"/>
          <w:b w:val="0"/>
          <w:bCs w:val="0"/>
          <w:sz w:val="32"/>
          <w:szCs w:val="32"/>
          <w:u w:val="none"/>
          <w:lang w:val="en-US" w:eastAsia="zh-CN"/>
        </w:rPr>
        <w:t>2024</w:t>
      </w:r>
      <w:r>
        <w:rPr>
          <w:rFonts w:hint="eastAsia"/>
          <w:lang w:val="en-US" w:eastAsia="zh-CN"/>
        </w:rPr>
        <w:t>年度机关运行经费预算包括：办公费</w:t>
      </w:r>
      <w:r>
        <w:rPr>
          <w:rFonts w:hint="eastAsia" w:ascii="仿宋_GB2312"/>
          <w:bCs/>
          <w:kern w:val="44"/>
          <w:sz w:val="32"/>
          <w:szCs w:val="32"/>
          <w:highlight w:val="none"/>
          <w:u w:val="single"/>
          <w:lang w:val="en-US" w:eastAsia="zh-CN"/>
        </w:rPr>
        <w:t>29.8</w:t>
      </w:r>
      <w:r>
        <w:rPr>
          <w:rFonts w:hint="eastAsia" w:ascii="仿宋_GB2312" w:eastAsia="仿宋_GB2312"/>
          <w:bCs/>
          <w:kern w:val="44"/>
          <w:sz w:val="32"/>
          <w:szCs w:val="32"/>
          <w:highlight w:val="none"/>
        </w:rPr>
        <w:t>万元</w:t>
      </w:r>
      <w:r>
        <w:rPr>
          <w:rFonts w:hint="eastAsia"/>
          <w:lang w:val="en-US" w:eastAsia="zh-CN"/>
        </w:rPr>
        <w:t>、公务接待费</w:t>
      </w:r>
      <w:r>
        <w:rPr>
          <w:rFonts w:hint="eastAsia" w:ascii="仿宋_GB2312"/>
          <w:bCs/>
          <w:kern w:val="44"/>
          <w:sz w:val="32"/>
          <w:szCs w:val="32"/>
          <w:highlight w:val="none"/>
          <w:u w:val="single"/>
          <w:lang w:val="en-US" w:eastAsia="zh-CN"/>
        </w:rPr>
        <w:t>1.5</w:t>
      </w:r>
      <w:r>
        <w:rPr>
          <w:rFonts w:hint="eastAsia" w:ascii="仿宋_GB2312" w:eastAsia="仿宋_GB2312"/>
          <w:bCs/>
          <w:kern w:val="44"/>
          <w:sz w:val="32"/>
          <w:szCs w:val="32"/>
          <w:highlight w:val="none"/>
        </w:rPr>
        <w:t>万元</w:t>
      </w:r>
      <w:r>
        <w:rPr>
          <w:rFonts w:hint="eastAsia"/>
          <w:lang w:val="en-US" w:eastAsia="zh-CN"/>
        </w:rPr>
        <w:t>、劳务费</w:t>
      </w:r>
      <w:r>
        <w:rPr>
          <w:rFonts w:hint="eastAsia" w:ascii="仿宋_GB2312"/>
          <w:bCs/>
          <w:kern w:val="44"/>
          <w:sz w:val="32"/>
          <w:szCs w:val="32"/>
          <w:highlight w:val="none"/>
          <w:u w:val="single"/>
          <w:lang w:val="en-US" w:eastAsia="zh-CN"/>
        </w:rPr>
        <w:t>20</w:t>
      </w:r>
      <w:r>
        <w:rPr>
          <w:rFonts w:hint="eastAsia" w:ascii="仿宋_GB2312" w:eastAsia="仿宋_GB2312"/>
          <w:bCs/>
          <w:kern w:val="44"/>
          <w:sz w:val="32"/>
          <w:szCs w:val="32"/>
          <w:highlight w:val="none"/>
        </w:rPr>
        <w:t>万元</w:t>
      </w:r>
      <w:r>
        <w:rPr>
          <w:rFonts w:hint="eastAsia"/>
          <w:lang w:val="en-US" w:eastAsia="zh-CN"/>
        </w:rPr>
        <w:t>、工会经费</w:t>
      </w:r>
      <w:r>
        <w:rPr>
          <w:rFonts w:hint="eastAsia" w:ascii="仿宋_GB2312"/>
          <w:bCs/>
          <w:kern w:val="44"/>
          <w:sz w:val="32"/>
          <w:szCs w:val="32"/>
          <w:highlight w:val="none"/>
          <w:u w:val="single"/>
          <w:lang w:val="en-US" w:eastAsia="zh-CN"/>
        </w:rPr>
        <w:t>11.78</w:t>
      </w:r>
      <w:r>
        <w:rPr>
          <w:rFonts w:hint="eastAsia" w:ascii="仿宋_GB2312" w:eastAsia="仿宋_GB2312"/>
          <w:bCs/>
          <w:kern w:val="44"/>
          <w:sz w:val="32"/>
          <w:szCs w:val="32"/>
          <w:highlight w:val="none"/>
        </w:rPr>
        <w:t>万元</w:t>
      </w:r>
      <w:r>
        <w:rPr>
          <w:rFonts w:hint="eastAsia"/>
          <w:lang w:val="en-US" w:eastAsia="zh-CN"/>
        </w:rPr>
        <w:t>、福利费</w:t>
      </w:r>
      <w:r>
        <w:rPr>
          <w:rFonts w:hint="eastAsia" w:ascii="仿宋_GB2312"/>
          <w:bCs/>
          <w:kern w:val="44"/>
          <w:sz w:val="32"/>
          <w:szCs w:val="32"/>
          <w:highlight w:val="none"/>
          <w:u w:val="single"/>
          <w:lang w:val="en-US" w:eastAsia="zh-CN"/>
        </w:rPr>
        <w:t>14.72</w:t>
      </w:r>
      <w:r>
        <w:rPr>
          <w:rFonts w:hint="eastAsia" w:ascii="仿宋_GB2312" w:eastAsia="仿宋_GB2312"/>
          <w:bCs/>
          <w:kern w:val="44"/>
          <w:sz w:val="32"/>
          <w:szCs w:val="32"/>
          <w:highlight w:val="none"/>
        </w:rPr>
        <w:t>万元</w:t>
      </w:r>
      <w:r>
        <w:rPr>
          <w:rFonts w:hint="eastAsia"/>
          <w:lang w:val="en-US" w:eastAsia="zh-CN"/>
        </w:rPr>
        <w:t>、公务用车运行维护费</w:t>
      </w:r>
      <w:r>
        <w:rPr>
          <w:rFonts w:hint="eastAsia" w:ascii="仿宋_GB2312"/>
          <w:bCs/>
          <w:kern w:val="44"/>
          <w:sz w:val="32"/>
          <w:szCs w:val="32"/>
          <w:highlight w:val="none"/>
          <w:u w:val="single"/>
          <w:lang w:val="en-US" w:eastAsia="zh-CN"/>
        </w:rPr>
        <w:t>4</w:t>
      </w:r>
      <w:r>
        <w:rPr>
          <w:rFonts w:hint="eastAsia" w:ascii="仿宋_GB2312" w:eastAsia="仿宋_GB2312"/>
          <w:bCs/>
          <w:kern w:val="44"/>
          <w:sz w:val="32"/>
          <w:szCs w:val="32"/>
          <w:highlight w:val="none"/>
        </w:rPr>
        <w:t>万元</w:t>
      </w:r>
      <w:r>
        <w:rPr>
          <w:rFonts w:hint="eastAsia"/>
          <w:lang w:val="en-US" w:eastAsia="zh-CN"/>
        </w:rPr>
        <w:t>、其他交通费用</w:t>
      </w:r>
      <w:r>
        <w:rPr>
          <w:rFonts w:hint="eastAsia" w:ascii="仿宋_GB2312"/>
          <w:bCs/>
          <w:kern w:val="44"/>
          <w:sz w:val="32"/>
          <w:szCs w:val="32"/>
          <w:highlight w:val="none"/>
          <w:u w:val="single"/>
          <w:lang w:val="en-US" w:eastAsia="zh-CN"/>
        </w:rPr>
        <w:t>28.86</w:t>
      </w:r>
      <w:r>
        <w:rPr>
          <w:rFonts w:hint="eastAsia" w:ascii="仿宋_GB2312" w:eastAsia="仿宋_GB2312"/>
          <w:bCs/>
          <w:kern w:val="44"/>
          <w:sz w:val="32"/>
          <w:szCs w:val="32"/>
          <w:highlight w:val="none"/>
        </w:rPr>
        <w:t>万元</w:t>
      </w:r>
      <w:r>
        <w:rPr>
          <w:rFonts w:hint="eastAsia"/>
          <w:lang w:val="en-US" w:eastAsia="zh-CN"/>
        </w:rPr>
        <w:t>、其他商品和服务支出</w:t>
      </w:r>
      <w:r>
        <w:rPr>
          <w:rFonts w:hint="eastAsia" w:ascii="仿宋_GB2312"/>
          <w:bCs/>
          <w:kern w:val="44"/>
          <w:sz w:val="32"/>
          <w:szCs w:val="32"/>
          <w:highlight w:val="none"/>
          <w:u w:val="single"/>
          <w:lang w:val="en-US" w:eastAsia="zh-CN"/>
        </w:rPr>
        <w:t>14.23</w:t>
      </w:r>
      <w:r>
        <w:rPr>
          <w:rFonts w:hint="eastAsia" w:ascii="仿宋_GB2312" w:eastAsia="仿宋_GB2312"/>
          <w:bCs/>
          <w:kern w:val="44"/>
          <w:sz w:val="32"/>
          <w:szCs w:val="32"/>
          <w:highlight w:val="none"/>
        </w:rPr>
        <w:t>万元</w:t>
      </w:r>
      <w:r>
        <w:rPr>
          <w:rFonts w:hint="eastAsia"/>
          <w:lang w:val="en-US" w:eastAsia="zh-CN"/>
        </w:rPr>
        <w:t>。</w:t>
      </w:r>
    </w:p>
    <w:p w14:paraId="5690E092">
      <w:pPr>
        <w:keepNext w:val="0"/>
        <w:keepLines w:val="0"/>
        <w:pageBreakBefore w:val="0"/>
        <w:widowControl w:val="0"/>
        <w:kinsoku/>
        <w:wordWrap/>
        <w:overflowPunct/>
        <w:topLinePunct w:val="0"/>
        <w:autoSpaceDE/>
        <w:autoSpaceDN/>
        <w:bidi w:val="0"/>
        <w:adjustRightInd w:val="0"/>
        <w:snapToGrid w:val="0"/>
        <w:spacing w:line="500" w:lineRule="exact"/>
        <w:ind w:right="0" w:rightChars="0" w:firstLine="643" w:firstLineChars="200"/>
        <w:jc w:val="both"/>
        <w:textAlignment w:val="auto"/>
        <w:outlineLvl w:val="9"/>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 xml:space="preserve">第五部分  一般公共预算“三公”经费支出情况说明 </w:t>
      </w:r>
    </w:p>
    <w:p w14:paraId="7A7CA362">
      <w:pPr>
        <w:keepNext w:val="0"/>
        <w:keepLines w:val="0"/>
        <w:pageBreakBefore w:val="0"/>
        <w:widowControl w:val="0"/>
        <w:numPr>
          <w:ilvl w:val="0"/>
          <w:numId w:val="0"/>
        </w:numPr>
        <w:kinsoku/>
        <w:wordWrap/>
        <w:overflowPunct/>
        <w:topLinePunct w:val="0"/>
        <w:autoSpaceDE/>
        <w:autoSpaceDN/>
        <w:bidi w:val="0"/>
        <w:spacing w:line="500" w:lineRule="exact"/>
        <w:ind w:left="640" w:leftChars="200" w:right="0" w:rightChars="0" w:firstLine="0" w:firstLineChars="0"/>
        <w:jc w:val="both"/>
        <w:textAlignment w:val="auto"/>
        <w:outlineLvl w:val="9"/>
        <w:rPr>
          <w:rFonts w:hint="default"/>
          <w:b/>
          <w:bCs/>
          <w:lang w:val="en-US" w:eastAsia="zh-CN"/>
        </w:rPr>
      </w:pPr>
      <w:r>
        <w:rPr>
          <w:rFonts w:hint="eastAsia"/>
          <w:b/>
          <w:bCs/>
          <w:lang w:val="en-US" w:eastAsia="zh-CN"/>
        </w:rPr>
        <w:t>（一）一般公共预算“三公”经费支出总体情况说明。</w:t>
      </w:r>
    </w:p>
    <w:p w14:paraId="0617F909">
      <w:pPr>
        <w:keepNext w:val="0"/>
        <w:keepLines w:val="0"/>
        <w:pageBreakBefore w:val="0"/>
        <w:widowControl w:val="0"/>
        <w:numPr>
          <w:ilvl w:val="0"/>
          <w:numId w:val="0"/>
        </w:numPr>
        <w:kinsoku/>
        <w:wordWrap/>
        <w:overflowPunct/>
        <w:topLinePunct w:val="0"/>
        <w:autoSpaceDE/>
        <w:autoSpaceDN/>
        <w:bidi w:val="0"/>
        <w:spacing w:line="500" w:lineRule="exact"/>
        <w:ind w:right="0" w:rightChars="0" w:firstLine="640" w:firstLineChars="200"/>
        <w:jc w:val="both"/>
        <w:textAlignment w:val="auto"/>
        <w:outlineLvl w:val="9"/>
        <w:rPr>
          <w:rFonts w:hint="eastAsia"/>
          <w:lang w:val="en-US" w:eastAsia="zh-CN"/>
        </w:rPr>
      </w:pPr>
      <w:r>
        <w:rPr>
          <w:rFonts w:hint="eastAsia"/>
          <w:lang w:val="en-US" w:eastAsia="zh-CN"/>
        </w:rPr>
        <w:t>2024年“三公”经费一般公共预算</w:t>
      </w:r>
      <w:r>
        <w:rPr>
          <w:rFonts w:hint="eastAsia"/>
          <w:u w:val="single"/>
          <w:lang w:val="en-US" w:eastAsia="zh-CN"/>
        </w:rPr>
        <w:t>5.5</w:t>
      </w:r>
      <w:r>
        <w:rPr>
          <w:rFonts w:hint="eastAsia"/>
          <w:lang w:val="en-US" w:eastAsia="zh-CN"/>
        </w:rPr>
        <w:t>万元，比上年预算</w:t>
      </w:r>
      <w:r>
        <w:rPr>
          <w:rFonts w:hint="eastAsia" w:ascii="仿宋_GB2312" w:eastAsia="仿宋_GB2312"/>
          <w:bCs/>
          <w:kern w:val="44"/>
          <w:sz w:val="32"/>
          <w:szCs w:val="32"/>
          <w:highlight w:val="none"/>
        </w:rPr>
        <w:t>增加</w:t>
      </w:r>
      <w:r>
        <w:rPr>
          <w:rFonts w:hint="eastAsia" w:ascii="仿宋_GB2312"/>
          <w:bCs/>
          <w:kern w:val="44"/>
          <w:sz w:val="32"/>
          <w:szCs w:val="32"/>
          <w:highlight w:val="none"/>
          <w:lang w:val="en-US" w:eastAsia="zh-CN"/>
        </w:rPr>
        <w:t>0</w:t>
      </w:r>
      <w:r>
        <w:rPr>
          <w:rFonts w:hint="eastAsia" w:ascii="仿宋_GB2312" w:eastAsia="仿宋_GB2312"/>
          <w:bCs/>
          <w:kern w:val="44"/>
          <w:sz w:val="32"/>
          <w:szCs w:val="32"/>
          <w:highlight w:val="none"/>
        </w:rPr>
        <w:t>万元，增长</w:t>
      </w:r>
      <w:r>
        <w:rPr>
          <w:rFonts w:hint="eastAsia" w:ascii="仿宋_GB2312"/>
          <w:bCs/>
          <w:kern w:val="44"/>
          <w:sz w:val="32"/>
          <w:szCs w:val="32"/>
          <w:highlight w:val="none"/>
          <w:lang w:val="en-US" w:eastAsia="zh-CN"/>
        </w:rPr>
        <w:t>0</w:t>
      </w:r>
      <w:r>
        <w:rPr>
          <w:rFonts w:hint="eastAsia" w:ascii="仿宋_GB2312" w:eastAsia="仿宋_GB2312"/>
          <w:bCs/>
          <w:kern w:val="44"/>
          <w:sz w:val="32"/>
          <w:szCs w:val="32"/>
          <w:highlight w:val="none"/>
        </w:rPr>
        <w:t>%。</w:t>
      </w:r>
      <w:r>
        <w:rPr>
          <w:rFonts w:hint="eastAsia" w:ascii="仿宋_GB2312" w:eastAsia="仿宋_GB2312"/>
          <w:color w:val="000000"/>
          <w:sz w:val="32"/>
          <w:szCs w:val="32"/>
          <w:highlight w:val="none"/>
          <w:u w:val="none"/>
        </w:rPr>
        <w:t>主</w:t>
      </w:r>
      <w:r>
        <w:rPr>
          <w:rFonts w:hint="eastAsia" w:ascii="仿宋" w:hAnsi="仿宋" w:eastAsia="仿宋"/>
          <w:sz w:val="32"/>
          <w:szCs w:val="32"/>
          <w:u w:val="none"/>
          <w:lang w:val="en-US" w:eastAsia="zh-CN"/>
        </w:rPr>
        <w:t>与上年对比无增减变化，与上年预算持平</w:t>
      </w:r>
      <w:r>
        <w:rPr>
          <w:rFonts w:hint="eastAsia"/>
          <w:lang w:val="en-US" w:eastAsia="zh-CN"/>
        </w:rPr>
        <w:t>。</w:t>
      </w:r>
    </w:p>
    <w:p w14:paraId="53C52586">
      <w:pPr>
        <w:keepNext w:val="0"/>
        <w:keepLines w:val="0"/>
        <w:pageBreakBefore w:val="0"/>
        <w:widowControl w:val="0"/>
        <w:numPr>
          <w:ilvl w:val="0"/>
          <w:numId w:val="0"/>
        </w:numPr>
        <w:kinsoku/>
        <w:wordWrap/>
        <w:overflowPunct/>
        <w:topLinePunct w:val="0"/>
        <w:autoSpaceDE/>
        <w:autoSpaceDN/>
        <w:bidi w:val="0"/>
        <w:spacing w:line="500" w:lineRule="exact"/>
        <w:ind w:leftChars="200" w:right="0" w:rightChars="0"/>
        <w:jc w:val="both"/>
        <w:textAlignment w:val="auto"/>
        <w:outlineLvl w:val="9"/>
        <w:rPr>
          <w:rFonts w:hint="eastAsia"/>
          <w:b/>
          <w:bCs/>
          <w:lang w:val="en-US" w:eastAsia="zh-CN"/>
        </w:rPr>
      </w:pPr>
      <w:r>
        <w:rPr>
          <w:rFonts w:hint="eastAsia"/>
          <w:b/>
          <w:bCs/>
          <w:lang w:val="en-US" w:eastAsia="zh-CN"/>
        </w:rPr>
        <w:t>（二）一般公共预算“三公”经费支出具体情况说明。</w:t>
      </w:r>
    </w:p>
    <w:p w14:paraId="1963DF53">
      <w:pPr>
        <w:keepNext w:val="0"/>
        <w:keepLines w:val="0"/>
        <w:pageBreakBefore w:val="0"/>
        <w:widowControl w:val="0"/>
        <w:kinsoku/>
        <w:wordWrap/>
        <w:overflowPunct/>
        <w:topLinePunct w:val="0"/>
        <w:autoSpaceDE/>
        <w:autoSpaceDN/>
        <w:bidi w:val="0"/>
        <w:adjustRightInd w:val="0"/>
        <w:snapToGrid w:val="0"/>
        <w:spacing w:line="500" w:lineRule="exact"/>
        <w:ind w:right="0" w:rightChars="0" w:firstLine="640" w:firstLineChars="200"/>
        <w:jc w:val="both"/>
        <w:textAlignment w:val="auto"/>
        <w:outlineLvl w:val="9"/>
        <w:rPr>
          <w:rFonts w:hint="eastAsia" w:ascii="仿宋_GB2312" w:eastAsia="仿宋_GB2312"/>
          <w:color w:val="000000"/>
          <w:sz w:val="32"/>
          <w:szCs w:val="32"/>
          <w:highlight w:val="yellow"/>
        </w:rPr>
      </w:pPr>
      <w:r>
        <w:rPr>
          <w:rFonts w:hint="eastAsia" w:ascii="仿宋_GB2312" w:eastAsia="仿宋_GB2312"/>
          <w:color w:val="000000"/>
          <w:sz w:val="32"/>
          <w:szCs w:val="32"/>
          <w:highlight w:val="none"/>
        </w:rPr>
        <w:t>1</w:t>
      </w:r>
      <w:r>
        <w:rPr>
          <w:rFonts w:hint="eastAsia" w:ascii="仿宋_GB2312"/>
          <w:color w:val="000000"/>
          <w:sz w:val="32"/>
          <w:szCs w:val="32"/>
          <w:highlight w:val="none"/>
          <w:lang w:eastAsia="zh-CN"/>
        </w:rPr>
        <w:t>、</w:t>
      </w:r>
      <w:r>
        <w:rPr>
          <w:rFonts w:hint="eastAsia" w:ascii="仿宋_GB2312" w:eastAsia="仿宋_GB2312"/>
          <w:color w:val="000000"/>
          <w:sz w:val="32"/>
          <w:szCs w:val="32"/>
          <w:highlight w:val="none"/>
        </w:rPr>
        <w:t>因公出国(境)费</w:t>
      </w:r>
      <w:r>
        <w:rPr>
          <w:rFonts w:hint="eastAsia" w:ascii="仿宋_GB2312" w:eastAsia="仿宋_GB2312"/>
          <w:color w:val="000000"/>
          <w:sz w:val="32"/>
          <w:szCs w:val="32"/>
          <w:highlight w:val="none"/>
          <w:lang w:val="en-US" w:eastAsia="zh-CN"/>
        </w:rPr>
        <w:t>预算</w:t>
      </w:r>
      <w:r>
        <w:rPr>
          <w:rFonts w:hint="eastAsia" w:ascii="仿宋_GB2312"/>
          <w:color w:val="000000"/>
          <w:sz w:val="32"/>
          <w:szCs w:val="32"/>
          <w:highlight w:val="none"/>
          <w:u w:val="single"/>
          <w:lang w:val="en-US" w:eastAsia="zh-CN"/>
        </w:rPr>
        <w:t>0</w:t>
      </w:r>
      <w:r>
        <w:rPr>
          <w:rFonts w:hint="eastAsia" w:ascii="仿宋_GB2312" w:eastAsia="仿宋_GB2312"/>
          <w:color w:val="000000"/>
          <w:sz w:val="32"/>
          <w:szCs w:val="32"/>
          <w:highlight w:val="none"/>
          <w:u w:val="none"/>
          <w:lang w:val="en-US" w:eastAsia="zh-CN"/>
        </w:rPr>
        <w:t>万元，</w:t>
      </w:r>
      <w:r>
        <w:rPr>
          <w:rFonts w:hint="eastAsia"/>
          <w:u w:val="none"/>
          <w:lang w:val="en-US" w:eastAsia="zh-CN"/>
        </w:rPr>
        <w:t>比上年预算</w:t>
      </w:r>
      <w:r>
        <w:rPr>
          <w:rFonts w:hint="eastAsia" w:ascii="仿宋_GB2312" w:eastAsia="仿宋_GB2312"/>
          <w:bCs/>
          <w:kern w:val="44"/>
          <w:sz w:val="32"/>
          <w:szCs w:val="32"/>
          <w:highlight w:val="none"/>
          <w:u w:val="none"/>
        </w:rPr>
        <w:t>增加</w:t>
      </w:r>
      <w:r>
        <w:rPr>
          <w:rFonts w:hint="eastAsia" w:ascii="仿宋_GB2312"/>
          <w:bCs/>
          <w:kern w:val="44"/>
          <w:sz w:val="32"/>
          <w:szCs w:val="32"/>
          <w:highlight w:val="none"/>
          <w:u w:val="none"/>
          <w:lang w:val="en-US" w:eastAsia="zh-CN"/>
        </w:rPr>
        <w:t>0</w:t>
      </w:r>
      <w:r>
        <w:rPr>
          <w:rFonts w:hint="eastAsia" w:ascii="仿宋_GB2312" w:eastAsia="仿宋_GB2312"/>
          <w:bCs/>
          <w:kern w:val="44"/>
          <w:sz w:val="32"/>
          <w:szCs w:val="32"/>
          <w:highlight w:val="none"/>
          <w:u w:val="none"/>
        </w:rPr>
        <w:t>万元，增长</w:t>
      </w:r>
      <w:r>
        <w:rPr>
          <w:rFonts w:hint="eastAsia" w:ascii="仿宋_GB2312"/>
          <w:bCs/>
          <w:kern w:val="44"/>
          <w:sz w:val="32"/>
          <w:szCs w:val="32"/>
          <w:highlight w:val="none"/>
          <w:u w:val="none"/>
          <w:lang w:val="en-US" w:eastAsia="zh-CN"/>
        </w:rPr>
        <w:t>0</w:t>
      </w:r>
      <w:r>
        <w:rPr>
          <w:rFonts w:hint="eastAsia" w:ascii="仿宋_GB2312" w:eastAsia="仿宋_GB2312"/>
          <w:bCs/>
          <w:kern w:val="44"/>
          <w:sz w:val="32"/>
          <w:szCs w:val="32"/>
          <w:highlight w:val="none"/>
          <w:u w:val="none"/>
        </w:rPr>
        <w:t>%</w:t>
      </w:r>
      <w:r>
        <w:rPr>
          <w:rFonts w:hint="eastAsia" w:ascii="仿宋_GB2312"/>
          <w:bCs/>
          <w:kern w:val="44"/>
          <w:sz w:val="32"/>
          <w:szCs w:val="32"/>
          <w:highlight w:val="none"/>
          <w:u w:val="none"/>
          <w:lang w:eastAsia="zh-CN"/>
        </w:rPr>
        <w:t>，</w:t>
      </w:r>
      <w:r>
        <w:rPr>
          <w:rFonts w:hint="eastAsia" w:ascii="仿宋" w:hAnsi="仿宋" w:eastAsia="仿宋"/>
          <w:sz w:val="32"/>
          <w:szCs w:val="32"/>
          <w:u w:val="none"/>
          <w:lang w:val="en-US" w:eastAsia="zh-CN"/>
        </w:rPr>
        <w:t>与上年对比无增减变化，与上年预算持平</w:t>
      </w:r>
      <w:r>
        <w:rPr>
          <w:rFonts w:hint="eastAsia" w:ascii="仿宋_GB2312" w:eastAsia="仿宋_GB2312"/>
          <w:color w:val="000000"/>
          <w:sz w:val="32"/>
          <w:szCs w:val="32"/>
          <w:highlight w:val="none"/>
        </w:rPr>
        <w:t>。</w:t>
      </w:r>
    </w:p>
    <w:p w14:paraId="04505911">
      <w:pPr>
        <w:keepNext w:val="0"/>
        <w:keepLines w:val="0"/>
        <w:pageBreakBefore w:val="0"/>
        <w:widowControl w:val="0"/>
        <w:kinsoku/>
        <w:wordWrap/>
        <w:overflowPunct/>
        <w:topLinePunct w:val="0"/>
        <w:autoSpaceDE/>
        <w:autoSpaceDN/>
        <w:bidi w:val="0"/>
        <w:adjustRightInd w:val="0"/>
        <w:snapToGrid w:val="0"/>
        <w:spacing w:line="500" w:lineRule="exact"/>
        <w:ind w:right="0" w:rightChars="0" w:firstLine="640" w:firstLineChars="200"/>
        <w:jc w:val="both"/>
        <w:textAlignment w:val="auto"/>
        <w:outlineLvl w:val="9"/>
        <w:rPr>
          <w:rFonts w:hint="eastAsia" w:ascii="仿宋_GB2312" w:eastAsia="仿宋_GB2312"/>
          <w:color w:val="000000"/>
          <w:sz w:val="32"/>
          <w:szCs w:val="32"/>
          <w:highlight w:val="yellow"/>
        </w:rPr>
      </w:pPr>
      <w:r>
        <w:rPr>
          <w:rFonts w:hint="eastAsia" w:ascii="仿宋_GB2312" w:eastAsia="仿宋_GB2312"/>
          <w:color w:val="000000"/>
          <w:sz w:val="32"/>
          <w:szCs w:val="32"/>
          <w:highlight w:val="none"/>
        </w:rPr>
        <w:t>2</w:t>
      </w:r>
      <w:r>
        <w:rPr>
          <w:rFonts w:hint="eastAsia" w:ascii="仿宋_GB2312"/>
          <w:color w:val="000000"/>
          <w:sz w:val="32"/>
          <w:szCs w:val="32"/>
          <w:highlight w:val="none"/>
          <w:lang w:eastAsia="zh-CN"/>
        </w:rPr>
        <w:t>、</w:t>
      </w:r>
      <w:r>
        <w:rPr>
          <w:rFonts w:hint="eastAsia" w:ascii="仿宋_GB2312" w:eastAsia="仿宋_GB2312"/>
          <w:color w:val="000000"/>
          <w:sz w:val="32"/>
          <w:szCs w:val="32"/>
          <w:highlight w:val="none"/>
        </w:rPr>
        <w:t>公务用车购置及运行费</w:t>
      </w:r>
      <w:r>
        <w:rPr>
          <w:rFonts w:hint="eastAsia" w:ascii="仿宋_GB2312"/>
          <w:color w:val="000000"/>
          <w:sz w:val="32"/>
          <w:szCs w:val="32"/>
          <w:highlight w:val="none"/>
          <w:lang w:eastAsia="zh-CN"/>
        </w:rPr>
        <w:t>预算</w:t>
      </w:r>
      <w:r>
        <w:rPr>
          <w:rFonts w:hint="eastAsia" w:ascii="仿宋_GB2312"/>
          <w:color w:val="000000"/>
          <w:sz w:val="32"/>
          <w:szCs w:val="32"/>
          <w:highlight w:val="none"/>
          <w:u w:val="single"/>
          <w:lang w:val="en-US" w:eastAsia="zh-CN"/>
        </w:rPr>
        <w:t>0</w:t>
      </w:r>
      <w:r>
        <w:rPr>
          <w:rFonts w:hint="eastAsia" w:ascii="仿宋_GB2312" w:eastAsia="仿宋_GB2312"/>
          <w:color w:val="000000"/>
          <w:sz w:val="32"/>
          <w:szCs w:val="32"/>
          <w:highlight w:val="none"/>
        </w:rPr>
        <w:t>万元，</w:t>
      </w:r>
      <w:r>
        <w:rPr>
          <w:rFonts w:hint="eastAsia"/>
          <w:lang w:val="en-US" w:eastAsia="zh-CN"/>
        </w:rPr>
        <w:t>比上年预算</w:t>
      </w:r>
      <w:r>
        <w:rPr>
          <w:rFonts w:hint="eastAsia" w:ascii="仿宋_GB2312" w:eastAsia="仿宋_GB2312"/>
          <w:bCs/>
          <w:kern w:val="44"/>
          <w:sz w:val="32"/>
          <w:szCs w:val="32"/>
          <w:highlight w:val="none"/>
        </w:rPr>
        <w:t>增加</w:t>
      </w:r>
      <w:r>
        <w:rPr>
          <w:rFonts w:hint="eastAsia" w:ascii="仿宋_GB2312"/>
          <w:bCs/>
          <w:kern w:val="44"/>
          <w:sz w:val="32"/>
          <w:szCs w:val="32"/>
          <w:highlight w:val="none"/>
          <w:lang w:val="en-US" w:eastAsia="zh-CN"/>
        </w:rPr>
        <w:t>0</w:t>
      </w:r>
      <w:r>
        <w:rPr>
          <w:rFonts w:hint="eastAsia" w:ascii="仿宋_GB2312" w:eastAsia="仿宋_GB2312"/>
          <w:bCs/>
          <w:kern w:val="44"/>
          <w:sz w:val="32"/>
          <w:szCs w:val="32"/>
          <w:highlight w:val="none"/>
        </w:rPr>
        <w:t>万元，增长</w:t>
      </w:r>
      <w:r>
        <w:rPr>
          <w:rFonts w:hint="eastAsia" w:ascii="仿宋_GB2312"/>
          <w:bCs/>
          <w:kern w:val="44"/>
          <w:sz w:val="32"/>
          <w:szCs w:val="32"/>
          <w:highlight w:val="none"/>
          <w:lang w:val="en-US" w:eastAsia="zh-CN"/>
        </w:rPr>
        <w:t>0</w:t>
      </w:r>
      <w:r>
        <w:rPr>
          <w:rFonts w:hint="eastAsia" w:ascii="仿宋_GB2312" w:eastAsia="仿宋_GB2312"/>
          <w:bCs/>
          <w:kern w:val="44"/>
          <w:sz w:val="32"/>
          <w:szCs w:val="32"/>
          <w:highlight w:val="none"/>
        </w:rPr>
        <w:t>%</w:t>
      </w:r>
      <w:r>
        <w:rPr>
          <w:rFonts w:hint="eastAsia" w:ascii="仿宋_GB2312"/>
          <w:bCs/>
          <w:kern w:val="44"/>
          <w:sz w:val="32"/>
          <w:szCs w:val="32"/>
          <w:highlight w:val="none"/>
          <w:lang w:val="en-US" w:eastAsia="zh-CN"/>
        </w:rPr>
        <w:t>；</w:t>
      </w:r>
      <w:r>
        <w:rPr>
          <w:rFonts w:hint="eastAsia" w:ascii="仿宋_GB2312" w:eastAsia="仿宋_GB2312"/>
          <w:color w:val="000000"/>
          <w:sz w:val="32"/>
          <w:szCs w:val="32"/>
          <w:highlight w:val="none"/>
        </w:rPr>
        <w:t>其中：</w:t>
      </w:r>
    </w:p>
    <w:p w14:paraId="0D1396F5">
      <w:pPr>
        <w:keepNext w:val="0"/>
        <w:keepLines w:val="0"/>
        <w:pageBreakBefore w:val="0"/>
        <w:widowControl w:val="0"/>
        <w:kinsoku/>
        <w:wordWrap/>
        <w:overflowPunct/>
        <w:topLinePunct w:val="0"/>
        <w:autoSpaceDE/>
        <w:autoSpaceDN/>
        <w:bidi w:val="0"/>
        <w:adjustRightInd w:val="0"/>
        <w:snapToGrid w:val="0"/>
        <w:spacing w:line="500" w:lineRule="exact"/>
        <w:ind w:right="0" w:rightChars="0" w:firstLine="640" w:firstLineChars="200"/>
        <w:jc w:val="both"/>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(1)公务用车购置费</w:t>
      </w:r>
      <w:r>
        <w:rPr>
          <w:rFonts w:hint="eastAsia" w:ascii="仿宋_GB2312"/>
          <w:color w:val="000000"/>
          <w:sz w:val="32"/>
          <w:szCs w:val="32"/>
          <w:highlight w:val="none"/>
          <w:u w:val="single"/>
          <w:lang w:val="en-US" w:eastAsia="zh-CN"/>
        </w:rPr>
        <w:t>0</w:t>
      </w:r>
      <w:r>
        <w:rPr>
          <w:rFonts w:hint="eastAsia" w:ascii="仿宋_GB2312" w:eastAsia="仿宋_GB2312"/>
          <w:color w:val="000000"/>
          <w:sz w:val="32"/>
          <w:szCs w:val="32"/>
          <w:highlight w:val="none"/>
        </w:rPr>
        <w:t>万元，</w:t>
      </w:r>
      <w:r>
        <w:rPr>
          <w:rFonts w:hint="eastAsia"/>
          <w:lang w:val="en-US" w:eastAsia="zh-CN"/>
        </w:rPr>
        <w:t>比上年预算</w:t>
      </w:r>
      <w:r>
        <w:rPr>
          <w:rFonts w:hint="eastAsia" w:ascii="仿宋_GB2312" w:eastAsia="仿宋_GB2312"/>
          <w:bCs/>
          <w:kern w:val="44"/>
          <w:sz w:val="32"/>
          <w:szCs w:val="32"/>
          <w:highlight w:val="none"/>
        </w:rPr>
        <w:t>增加</w:t>
      </w:r>
      <w:r>
        <w:rPr>
          <w:rFonts w:hint="eastAsia" w:ascii="仿宋_GB2312"/>
          <w:bCs/>
          <w:kern w:val="44"/>
          <w:sz w:val="32"/>
          <w:szCs w:val="32"/>
          <w:highlight w:val="none"/>
          <w:lang w:val="en-US" w:eastAsia="zh-CN"/>
        </w:rPr>
        <w:t>0</w:t>
      </w:r>
      <w:r>
        <w:rPr>
          <w:rFonts w:hint="eastAsia" w:ascii="仿宋_GB2312" w:eastAsia="仿宋_GB2312"/>
          <w:bCs/>
          <w:kern w:val="44"/>
          <w:sz w:val="32"/>
          <w:szCs w:val="32"/>
          <w:highlight w:val="none"/>
        </w:rPr>
        <w:t>万元，增长</w:t>
      </w:r>
      <w:r>
        <w:rPr>
          <w:rFonts w:hint="eastAsia" w:ascii="仿宋_GB2312"/>
          <w:bCs/>
          <w:kern w:val="44"/>
          <w:sz w:val="32"/>
          <w:szCs w:val="32"/>
          <w:highlight w:val="none"/>
          <w:lang w:val="en-US" w:eastAsia="zh-CN"/>
        </w:rPr>
        <w:t>0</w:t>
      </w:r>
      <w:r>
        <w:rPr>
          <w:rFonts w:hint="eastAsia" w:ascii="仿宋_GB2312" w:eastAsia="仿宋_GB2312"/>
          <w:bCs/>
          <w:kern w:val="44"/>
          <w:sz w:val="32"/>
          <w:szCs w:val="32"/>
          <w:highlight w:val="none"/>
        </w:rPr>
        <w:t>%</w:t>
      </w:r>
      <w:r>
        <w:rPr>
          <w:rFonts w:hint="eastAsia" w:ascii="仿宋_GB2312"/>
          <w:bCs/>
          <w:kern w:val="44"/>
          <w:sz w:val="32"/>
          <w:szCs w:val="32"/>
          <w:highlight w:val="none"/>
          <w:lang w:eastAsia="zh-CN"/>
        </w:rPr>
        <w:t>，</w:t>
      </w:r>
      <w:r>
        <w:rPr>
          <w:rFonts w:hint="eastAsia" w:ascii="仿宋" w:hAnsi="仿宋" w:eastAsia="仿宋"/>
          <w:sz w:val="32"/>
          <w:szCs w:val="32"/>
          <w:u w:val="none"/>
          <w:lang w:val="en-US" w:eastAsia="zh-CN"/>
        </w:rPr>
        <w:t>与上年对比无增减变化，与上年预算持平</w:t>
      </w:r>
      <w:r>
        <w:rPr>
          <w:rFonts w:hint="eastAsia" w:ascii="仿宋_GB2312" w:eastAsia="仿宋_GB2312"/>
          <w:color w:val="000000"/>
          <w:sz w:val="32"/>
          <w:szCs w:val="32"/>
          <w:highlight w:val="none"/>
        </w:rPr>
        <w:t>。</w:t>
      </w:r>
    </w:p>
    <w:p w14:paraId="199CFA4C">
      <w:pPr>
        <w:keepNext w:val="0"/>
        <w:keepLines w:val="0"/>
        <w:pageBreakBefore w:val="0"/>
        <w:widowControl w:val="0"/>
        <w:kinsoku/>
        <w:wordWrap/>
        <w:overflowPunct/>
        <w:topLinePunct w:val="0"/>
        <w:autoSpaceDE/>
        <w:autoSpaceDN/>
        <w:bidi w:val="0"/>
        <w:adjustRightInd w:val="0"/>
        <w:snapToGrid w:val="0"/>
        <w:spacing w:line="500" w:lineRule="exact"/>
        <w:ind w:right="0" w:rightChars="0" w:firstLine="640" w:firstLineChars="200"/>
        <w:jc w:val="both"/>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(2)公务用车运行费</w:t>
      </w:r>
      <w:r>
        <w:rPr>
          <w:rFonts w:hint="eastAsia" w:ascii="仿宋_GB2312"/>
          <w:color w:val="000000"/>
          <w:sz w:val="32"/>
          <w:szCs w:val="32"/>
          <w:highlight w:val="none"/>
          <w:u w:val="single"/>
          <w:lang w:val="en-US" w:eastAsia="zh-CN"/>
        </w:rPr>
        <w:t>4</w:t>
      </w:r>
      <w:r>
        <w:rPr>
          <w:rFonts w:hint="eastAsia" w:ascii="仿宋_GB2312" w:eastAsia="仿宋_GB2312"/>
          <w:color w:val="000000"/>
          <w:sz w:val="32"/>
          <w:szCs w:val="32"/>
          <w:highlight w:val="none"/>
        </w:rPr>
        <w:t>万元，</w:t>
      </w:r>
      <w:r>
        <w:rPr>
          <w:rFonts w:hint="eastAsia"/>
          <w:lang w:val="en-US" w:eastAsia="zh-CN"/>
        </w:rPr>
        <w:t>比上年预算</w:t>
      </w:r>
      <w:r>
        <w:rPr>
          <w:rFonts w:hint="eastAsia" w:ascii="仿宋_GB2312" w:eastAsia="仿宋_GB2312"/>
          <w:bCs/>
          <w:kern w:val="44"/>
          <w:sz w:val="32"/>
          <w:szCs w:val="32"/>
          <w:highlight w:val="none"/>
        </w:rPr>
        <w:t>增加</w:t>
      </w:r>
      <w:r>
        <w:rPr>
          <w:rFonts w:hint="eastAsia" w:ascii="仿宋_GB2312"/>
          <w:bCs/>
          <w:kern w:val="44"/>
          <w:sz w:val="32"/>
          <w:szCs w:val="32"/>
          <w:highlight w:val="none"/>
          <w:lang w:val="en-US" w:eastAsia="zh-CN"/>
        </w:rPr>
        <w:t>0</w:t>
      </w:r>
      <w:r>
        <w:rPr>
          <w:rFonts w:hint="eastAsia" w:ascii="仿宋_GB2312" w:eastAsia="仿宋_GB2312"/>
          <w:bCs/>
          <w:kern w:val="44"/>
          <w:sz w:val="32"/>
          <w:szCs w:val="32"/>
          <w:highlight w:val="none"/>
        </w:rPr>
        <w:t>万元，增长</w:t>
      </w:r>
      <w:r>
        <w:rPr>
          <w:rFonts w:hint="eastAsia" w:ascii="仿宋_GB2312"/>
          <w:bCs/>
          <w:kern w:val="44"/>
          <w:sz w:val="32"/>
          <w:szCs w:val="32"/>
          <w:highlight w:val="none"/>
          <w:lang w:val="en-US" w:eastAsia="zh-CN"/>
        </w:rPr>
        <w:t>0</w:t>
      </w:r>
      <w:r>
        <w:rPr>
          <w:rFonts w:hint="eastAsia" w:ascii="仿宋_GB2312" w:eastAsia="仿宋_GB2312"/>
          <w:bCs/>
          <w:kern w:val="44"/>
          <w:sz w:val="32"/>
          <w:szCs w:val="32"/>
          <w:highlight w:val="none"/>
        </w:rPr>
        <w:t>%</w:t>
      </w:r>
      <w:r>
        <w:rPr>
          <w:rFonts w:hint="eastAsia" w:ascii="仿宋_GB2312"/>
          <w:bCs/>
          <w:kern w:val="44"/>
          <w:sz w:val="32"/>
          <w:szCs w:val="32"/>
          <w:highlight w:val="none"/>
          <w:lang w:eastAsia="zh-CN"/>
        </w:rPr>
        <w:t>，</w:t>
      </w:r>
      <w:r>
        <w:rPr>
          <w:rFonts w:hint="eastAsia" w:ascii="仿宋" w:hAnsi="仿宋" w:eastAsia="仿宋"/>
          <w:sz w:val="32"/>
          <w:szCs w:val="32"/>
          <w:u w:val="none"/>
          <w:lang w:val="en-US" w:eastAsia="zh-CN"/>
        </w:rPr>
        <w:t>与上年对比无增减变化，与上年预算持平</w:t>
      </w:r>
      <w:r>
        <w:rPr>
          <w:rFonts w:hint="eastAsia" w:ascii="仿宋_GB2312" w:eastAsia="仿宋_GB2312"/>
          <w:color w:val="000000"/>
          <w:sz w:val="32"/>
          <w:szCs w:val="32"/>
          <w:highlight w:val="none"/>
        </w:rPr>
        <w:t>。</w:t>
      </w:r>
    </w:p>
    <w:p w14:paraId="15F7FFD9">
      <w:pPr>
        <w:keepNext w:val="0"/>
        <w:keepLines w:val="0"/>
        <w:pageBreakBefore w:val="0"/>
        <w:widowControl w:val="0"/>
        <w:kinsoku/>
        <w:wordWrap/>
        <w:overflowPunct/>
        <w:topLinePunct w:val="0"/>
        <w:autoSpaceDE/>
        <w:autoSpaceDN/>
        <w:bidi w:val="0"/>
        <w:adjustRightInd w:val="0"/>
        <w:snapToGrid w:val="0"/>
        <w:spacing w:line="500" w:lineRule="exact"/>
        <w:ind w:right="0" w:rightChars="0" w:firstLine="640" w:firstLineChars="200"/>
        <w:jc w:val="both"/>
        <w:textAlignment w:val="auto"/>
        <w:outlineLvl w:val="9"/>
        <w:rPr>
          <w:rFonts w:hint="default" w:ascii="仿宋_GB2312" w:eastAsia="仿宋_GB2312"/>
          <w:color w:val="000000"/>
          <w:sz w:val="32"/>
          <w:szCs w:val="32"/>
          <w:highlight w:val="none"/>
          <w:u w:val="none"/>
          <w:lang w:val="en-US" w:eastAsia="zh-CN"/>
        </w:rPr>
      </w:pPr>
      <w:r>
        <w:rPr>
          <w:rFonts w:hint="eastAsia" w:ascii="仿宋_GB2312" w:eastAsia="仿宋_GB2312"/>
          <w:color w:val="000000"/>
          <w:sz w:val="32"/>
          <w:szCs w:val="32"/>
          <w:highlight w:val="none"/>
        </w:rPr>
        <w:t>3</w:t>
      </w:r>
      <w:r>
        <w:rPr>
          <w:rFonts w:hint="eastAsia" w:ascii="仿宋_GB2312"/>
          <w:color w:val="000000"/>
          <w:sz w:val="32"/>
          <w:szCs w:val="32"/>
          <w:highlight w:val="none"/>
          <w:lang w:eastAsia="zh-CN"/>
        </w:rPr>
        <w:t>、</w:t>
      </w:r>
      <w:r>
        <w:rPr>
          <w:rFonts w:hint="eastAsia" w:ascii="仿宋_GB2312" w:eastAsia="仿宋_GB2312"/>
          <w:color w:val="000000"/>
          <w:sz w:val="32"/>
          <w:szCs w:val="32"/>
          <w:highlight w:val="none"/>
        </w:rPr>
        <w:t>公务接待费</w:t>
      </w:r>
      <w:r>
        <w:rPr>
          <w:rFonts w:hint="eastAsia" w:ascii="仿宋_GB2312"/>
          <w:color w:val="000000"/>
          <w:sz w:val="32"/>
          <w:szCs w:val="32"/>
          <w:highlight w:val="none"/>
          <w:lang w:eastAsia="zh-CN"/>
        </w:rPr>
        <w:t>预算</w:t>
      </w:r>
      <w:r>
        <w:rPr>
          <w:rFonts w:hint="eastAsia" w:ascii="仿宋_GB2312"/>
          <w:color w:val="000000"/>
          <w:sz w:val="32"/>
          <w:szCs w:val="32"/>
          <w:highlight w:val="none"/>
          <w:u w:val="single"/>
          <w:lang w:val="en-US" w:eastAsia="zh-CN"/>
        </w:rPr>
        <w:t>1.5</w:t>
      </w:r>
      <w:r>
        <w:rPr>
          <w:rFonts w:hint="eastAsia" w:ascii="仿宋_GB2312" w:eastAsia="仿宋_GB2312"/>
          <w:color w:val="000000"/>
          <w:sz w:val="32"/>
          <w:szCs w:val="32"/>
          <w:highlight w:val="none"/>
        </w:rPr>
        <w:t>万元，</w:t>
      </w:r>
      <w:r>
        <w:rPr>
          <w:rFonts w:hint="eastAsia"/>
          <w:lang w:val="en-US" w:eastAsia="zh-CN"/>
        </w:rPr>
        <w:t>比上年预算</w:t>
      </w:r>
      <w:r>
        <w:rPr>
          <w:rFonts w:hint="eastAsia" w:ascii="仿宋_GB2312" w:eastAsia="仿宋_GB2312"/>
          <w:bCs/>
          <w:kern w:val="44"/>
          <w:sz w:val="32"/>
          <w:szCs w:val="32"/>
          <w:highlight w:val="none"/>
        </w:rPr>
        <w:t>增加</w:t>
      </w:r>
      <w:r>
        <w:rPr>
          <w:rFonts w:hint="eastAsia" w:ascii="仿宋_GB2312"/>
          <w:bCs/>
          <w:kern w:val="44"/>
          <w:sz w:val="32"/>
          <w:szCs w:val="32"/>
          <w:highlight w:val="none"/>
          <w:lang w:val="en-US" w:eastAsia="zh-CN"/>
        </w:rPr>
        <w:t>0</w:t>
      </w:r>
      <w:r>
        <w:rPr>
          <w:rFonts w:hint="eastAsia" w:ascii="仿宋_GB2312" w:eastAsia="仿宋_GB2312"/>
          <w:bCs/>
          <w:kern w:val="44"/>
          <w:sz w:val="32"/>
          <w:szCs w:val="32"/>
          <w:highlight w:val="none"/>
        </w:rPr>
        <w:t>万元，增长</w:t>
      </w:r>
      <w:r>
        <w:rPr>
          <w:rFonts w:hint="eastAsia" w:ascii="仿宋_GB2312"/>
          <w:bCs/>
          <w:kern w:val="44"/>
          <w:sz w:val="32"/>
          <w:szCs w:val="32"/>
          <w:highlight w:val="none"/>
          <w:lang w:val="en-US" w:eastAsia="zh-CN"/>
        </w:rPr>
        <w:t>0</w:t>
      </w:r>
      <w:r>
        <w:rPr>
          <w:rFonts w:hint="eastAsia" w:ascii="仿宋_GB2312" w:eastAsia="仿宋_GB2312"/>
          <w:bCs/>
          <w:kern w:val="44"/>
          <w:sz w:val="32"/>
          <w:szCs w:val="32"/>
          <w:highlight w:val="none"/>
        </w:rPr>
        <w:t>%</w:t>
      </w:r>
      <w:r>
        <w:rPr>
          <w:rFonts w:hint="eastAsia" w:ascii="仿宋_GB2312"/>
          <w:bCs/>
          <w:kern w:val="44"/>
          <w:sz w:val="32"/>
          <w:szCs w:val="32"/>
          <w:highlight w:val="none"/>
          <w:lang w:eastAsia="zh-CN"/>
        </w:rPr>
        <w:t>，</w:t>
      </w:r>
      <w:r>
        <w:rPr>
          <w:rFonts w:hint="eastAsia" w:ascii="仿宋" w:hAnsi="仿宋" w:eastAsia="仿宋"/>
          <w:sz w:val="32"/>
          <w:szCs w:val="32"/>
          <w:u w:val="none"/>
          <w:lang w:val="en-US" w:eastAsia="zh-CN"/>
        </w:rPr>
        <w:t>与上年对比无增减变化，与上年预算持平</w:t>
      </w:r>
      <w:r>
        <w:rPr>
          <w:rFonts w:hint="eastAsia" w:ascii="仿宋_GB2312" w:eastAsia="仿宋_GB2312"/>
          <w:color w:val="000000"/>
          <w:sz w:val="32"/>
          <w:szCs w:val="32"/>
          <w:highlight w:val="none"/>
        </w:rPr>
        <w:t>。</w:t>
      </w:r>
    </w:p>
    <w:p w14:paraId="26C04A22">
      <w:pPr>
        <w:adjustRightInd w:val="0"/>
        <w:snapToGrid w:val="0"/>
        <w:spacing w:line="580" w:lineRule="atLeast"/>
        <w:ind w:firstLine="643" w:firstLineChars="200"/>
        <w:rPr>
          <w:rFonts w:hint="default"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 xml:space="preserve">第六部分  </w:t>
      </w:r>
      <w:r>
        <w:rPr>
          <w:rFonts w:hint="default" w:ascii="黑体" w:hAnsi="黑体" w:eastAsia="黑体" w:cs="黑体"/>
          <w:b/>
          <w:bCs/>
          <w:sz w:val="32"/>
          <w:szCs w:val="32"/>
          <w:u w:val="none"/>
          <w:lang w:val="en-US" w:eastAsia="zh-CN"/>
        </w:rPr>
        <w:t>政府采购</w:t>
      </w:r>
      <w:r>
        <w:rPr>
          <w:rFonts w:hint="eastAsia" w:ascii="黑体" w:hAnsi="黑体" w:eastAsia="黑体" w:cs="黑体"/>
          <w:b/>
          <w:bCs/>
          <w:sz w:val="32"/>
          <w:szCs w:val="32"/>
          <w:u w:val="none"/>
          <w:lang w:val="en-US" w:eastAsia="zh-CN"/>
        </w:rPr>
        <w:t>安排情况</w:t>
      </w:r>
      <w:r>
        <w:rPr>
          <w:rFonts w:hint="default" w:ascii="黑体" w:hAnsi="黑体" w:eastAsia="黑体" w:cs="黑体"/>
          <w:b/>
          <w:bCs/>
          <w:sz w:val="32"/>
          <w:szCs w:val="32"/>
          <w:u w:val="none"/>
          <w:lang w:val="en-US" w:eastAsia="zh-CN"/>
        </w:rPr>
        <w:t>说明</w:t>
      </w:r>
    </w:p>
    <w:p w14:paraId="243C7A17">
      <w:pPr>
        <w:numPr>
          <w:ilvl w:val="0"/>
          <w:numId w:val="0"/>
        </w:numPr>
        <w:bidi w:val="0"/>
        <w:ind w:firstLine="640" w:firstLineChars="200"/>
        <w:rPr>
          <w:rFonts w:hint="default" w:ascii="仿宋_GB2312" w:hAnsi="仿宋_GB2312" w:eastAsia="仿宋_GB2312" w:cs="仿宋_GB2312"/>
          <w:szCs w:val="32"/>
          <w:lang w:val="en-US" w:eastAsia="zh-CN"/>
        </w:rPr>
      </w:pPr>
      <w:r>
        <w:rPr>
          <w:rFonts w:hint="eastAsia" w:ascii="黑体" w:hAnsi="黑体" w:eastAsia="黑体" w:cs="黑体"/>
          <w:b w:val="0"/>
          <w:bCs w:val="0"/>
          <w:sz w:val="32"/>
          <w:szCs w:val="32"/>
          <w:u w:val="none"/>
          <w:lang w:val="en-US" w:eastAsia="zh-CN"/>
        </w:rPr>
        <w:t>2024</w:t>
      </w:r>
      <w:r>
        <w:rPr>
          <w:rFonts w:hint="eastAsia" w:ascii="仿宋_GB2312" w:hAnsi="仿宋_GB2312" w:eastAsia="仿宋_GB2312" w:cs="仿宋_GB2312"/>
          <w:szCs w:val="32"/>
          <w:lang w:val="en-US" w:eastAsia="zh-CN"/>
        </w:rPr>
        <w:t>年本部门单位</w:t>
      </w:r>
      <w:r>
        <w:rPr>
          <w:rFonts w:hint="default" w:ascii="仿宋_GB2312" w:hAnsi="仿宋_GB2312" w:eastAsia="仿宋_GB2312" w:cs="仿宋_GB2312"/>
          <w:szCs w:val="32"/>
          <w:lang w:val="en-US" w:eastAsia="zh-CN"/>
        </w:rPr>
        <w:t>编制政府采购预算</w:t>
      </w:r>
      <w:r>
        <w:rPr>
          <w:rFonts w:hint="eastAsia" w:ascii="仿宋_GB2312" w:hAnsi="仿宋_GB2312" w:cs="仿宋_GB2312"/>
          <w:szCs w:val="32"/>
          <w:lang w:val="en-US" w:eastAsia="zh-CN"/>
        </w:rPr>
        <w:t>3.84</w:t>
      </w:r>
      <w:r>
        <w:rPr>
          <w:rFonts w:hint="eastAsia" w:ascii="仿宋_GB2312" w:hAnsi="仿宋_GB2312" w:eastAsia="仿宋_GB2312" w:cs="仿宋_GB2312"/>
          <w:szCs w:val="32"/>
          <w:lang w:val="en-US" w:eastAsia="zh-CN"/>
        </w:rPr>
        <w:t>万元，比上年增加</w:t>
      </w:r>
      <w:r>
        <w:rPr>
          <w:rFonts w:hint="eastAsia" w:ascii="仿宋_GB2312" w:hAnsi="仿宋_GB2312" w:cs="仿宋_GB2312"/>
          <w:szCs w:val="32"/>
          <w:lang w:val="en-US" w:eastAsia="zh-CN"/>
        </w:rPr>
        <w:t>2.79</w:t>
      </w:r>
      <w:r>
        <w:rPr>
          <w:rFonts w:hint="eastAsia" w:ascii="仿宋_GB2312" w:hAnsi="仿宋_GB2312" w:eastAsia="仿宋_GB2312" w:cs="仿宋_GB2312"/>
          <w:szCs w:val="32"/>
          <w:lang w:val="en-US" w:eastAsia="zh-CN"/>
        </w:rPr>
        <w:t>万元，</w:t>
      </w:r>
      <w:r>
        <w:rPr>
          <w:rFonts w:hint="eastAsia" w:ascii="仿宋_GB2312" w:hAnsi="仿宋_GB2312" w:eastAsia="仿宋_GB2312" w:cs="仿宋_GB2312"/>
          <w:szCs w:val="32"/>
        </w:rPr>
        <w:t>增长</w:t>
      </w:r>
      <w:r>
        <w:rPr>
          <w:rFonts w:hint="eastAsia" w:ascii="仿宋_GB2312" w:hAnsi="仿宋_GB2312" w:cs="仿宋_GB2312"/>
          <w:szCs w:val="32"/>
          <w:lang w:val="en-US" w:eastAsia="zh-CN"/>
        </w:rPr>
        <w:t>265.71</w:t>
      </w:r>
      <w:r>
        <w:rPr>
          <w:rFonts w:hint="eastAsia" w:ascii="仿宋_GB2312" w:hAnsi="仿宋_GB2312" w:eastAsia="仿宋_GB2312" w:cs="仿宋_GB2312"/>
          <w:szCs w:val="32"/>
        </w:rPr>
        <w:t>%</w:t>
      </w:r>
      <w:r>
        <w:rPr>
          <w:rFonts w:hint="default" w:ascii="仿宋_GB2312" w:hAnsi="仿宋_GB2312" w:eastAsia="仿宋_GB2312" w:cs="仿宋_GB2312"/>
          <w:szCs w:val="32"/>
          <w:lang w:val="en-US" w:eastAsia="zh-CN"/>
        </w:rPr>
        <w:t>。增加的主要原因：</w:t>
      </w:r>
      <w:r>
        <w:rPr>
          <w:rFonts w:hint="eastAsia" w:ascii="仿宋_GB2312" w:hAnsi="仿宋_GB2312" w:cs="仿宋_GB2312"/>
          <w:szCs w:val="32"/>
          <w:lang w:val="en-US" w:eastAsia="zh-CN"/>
        </w:rPr>
        <w:t>本年度复印纸采购数量增加</w:t>
      </w:r>
      <w:r>
        <w:rPr>
          <w:rFonts w:hint="default" w:ascii="仿宋_GB2312" w:hAnsi="仿宋_GB2312" w:eastAsia="仿宋_GB2312" w:cs="仿宋_GB2312"/>
          <w:szCs w:val="32"/>
          <w:lang w:val="en-US" w:eastAsia="zh-CN"/>
        </w:rPr>
        <w:t>。</w:t>
      </w:r>
    </w:p>
    <w:p w14:paraId="1790AF42">
      <w:pPr>
        <w:numPr>
          <w:ilvl w:val="0"/>
          <w:numId w:val="0"/>
        </w:numPr>
        <w:bidi w:val="0"/>
        <w:ind w:firstLine="640" w:firstLineChars="200"/>
        <w:rPr>
          <w:rFonts w:hint="default"/>
          <w:sz w:val="28"/>
          <w:szCs w:val="28"/>
          <w:highlight w:val="none"/>
          <w:lang w:val="en-US" w:eastAsia="zh-CN"/>
        </w:rPr>
      </w:pPr>
      <w:r>
        <w:rPr>
          <w:rFonts w:hint="default" w:ascii="仿宋_GB2312" w:hAnsi="仿宋_GB2312" w:eastAsia="仿宋_GB2312" w:cs="仿宋_GB2312"/>
          <w:szCs w:val="32"/>
          <w:lang w:val="en-US" w:eastAsia="zh-CN"/>
        </w:rPr>
        <w:t>其中：货物类政府采购预算</w:t>
      </w:r>
      <w:r>
        <w:rPr>
          <w:rFonts w:hint="eastAsia" w:ascii="仿宋_GB2312" w:hAnsi="仿宋_GB2312" w:cs="仿宋_GB2312"/>
          <w:szCs w:val="32"/>
          <w:lang w:val="en-US" w:eastAsia="zh-CN"/>
        </w:rPr>
        <w:t>3.84</w:t>
      </w:r>
      <w:r>
        <w:rPr>
          <w:rFonts w:hint="default" w:ascii="仿宋_GB2312" w:hAnsi="仿宋_GB2312" w:eastAsia="仿宋_GB2312" w:cs="仿宋_GB2312"/>
          <w:szCs w:val="32"/>
          <w:lang w:val="en-US" w:eastAsia="zh-CN"/>
        </w:rPr>
        <w:t>万元，主要是集中采购复印纸</w:t>
      </w:r>
      <w:r>
        <w:rPr>
          <w:rFonts w:hint="eastAsia" w:ascii="仿宋_GB2312" w:hAnsi="仿宋_GB2312" w:cs="仿宋_GB2312"/>
          <w:szCs w:val="32"/>
          <w:lang w:val="en-US" w:eastAsia="zh-CN"/>
        </w:rPr>
        <w:t>、打印机</w:t>
      </w:r>
      <w:r>
        <w:rPr>
          <w:rFonts w:hint="default" w:ascii="仿宋_GB2312" w:hAnsi="仿宋_GB2312" w:eastAsia="仿宋_GB2312" w:cs="仿宋_GB2312"/>
          <w:szCs w:val="32"/>
          <w:lang w:val="en-US" w:eastAsia="zh-CN"/>
        </w:rPr>
        <w:t>等支出；工程类政府采购预算</w:t>
      </w:r>
      <w:r>
        <w:rPr>
          <w:rFonts w:hint="eastAsia" w:ascii="仿宋_GB2312" w:hAnsi="仿宋_GB2312" w:cs="仿宋_GB2312"/>
          <w:szCs w:val="32"/>
          <w:lang w:val="en-US" w:eastAsia="zh-CN"/>
        </w:rPr>
        <w:t>0</w:t>
      </w:r>
      <w:r>
        <w:rPr>
          <w:rFonts w:hint="default" w:ascii="仿宋_GB2312" w:hAnsi="仿宋_GB2312" w:eastAsia="仿宋_GB2312" w:cs="仿宋_GB2312"/>
          <w:szCs w:val="32"/>
          <w:lang w:val="en-US" w:eastAsia="zh-CN"/>
        </w:rPr>
        <w:t>万元；服务类政府采购预算</w:t>
      </w:r>
      <w:r>
        <w:rPr>
          <w:rFonts w:hint="eastAsia" w:ascii="仿宋_GB2312" w:hAnsi="仿宋_GB2312" w:cs="仿宋_GB2312"/>
          <w:szCs w:val="32"/>
          <w:lang w:val="en-US" w:eastAsia="zh-CN"/>
        </w:rPr>
        <w:t>0</w:t>
      </w:r>
      <w:r>
        <w:rPr>
          <w:rFonts w:hint="default" w:ascii="仿宋_GB2312" w:hAnsi="仿宋_GB2312" w:eastAsia="仿宋_GB2312" w:cs="仿宋_GB2312"/>
          <w:szCs w:val="32"/>
          <w:lang w:val="en-US" w:eastAsia="zh-CN"/>
        </w:rPr>
        <w:t>万元</w:t>
      </w:r>
      <w:r>
        <w:rPr>
          <w:rFonts w:hint="default"/>
          <w:sz w:val="28"/>
          <w:szCs w:val="28"/>
          <w:highlight w:val="none"/>
          <w:lang w:val="en-US" w:eastAsia="zh-CN"/>
        </w:rPr>
        <w:t>。</w:t>
      </w:r>
    </w:p>
    <w:p w14:paraId="549417AF">
      <w:pPr>
        <w:adjustRightInd w:val="0"/>
        <w:snapToGrid w:val="0"/>
        <w:spacing w:line="580" w:lineRule="atLeast"/>
        <w:ind w:firstLine="643" w:firstLineChars="200"/>
        <w:rPr>
          <w:rFonts w:hint="default"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 xml:space="preserve">第七部分  </w:t>
      </w:r>
      <w:r>
        <w:rPr>
          <w:rFonts w:hint="default" w:ascii="黑体" w:hAnsi="黑体" w:eastAsia="黑体" w:cs="黑体"/>
          <w:b/>
          <w:bCs/>
          <w:sz w:val="32"/>
          <w:szCs w:val="32"/>
          <w:u w:val="none"/>
          <w:lang w:val="en-US" w:eastAsia="zh-CN"/>
        </w:rPr>
        <w:t>国有资产占用情况</w:t>
      </w:r>
      <w:r>
        <w:rPr>
          <w:rFonts w:hint="eastAsia" w:ascii="黑体" w:hAnsi="黑体" w:eastAsia="黑体" w:cs="黑体"/>
          <w:b/>
          <w:bCs/>
          <w:sz w:val="32"/>
          <w:szCs w:val="32"/>
          <w:u w:val="none"/>
          <w:lang w:val="en-US" w:eastAsia="zh-CN"/>
        </w:rPr>
        <w:t>说明</w:t>
      </w:r>
    </w:p>
    <w:p w14:paraId="3B9F9515">
      <w:pPr>
        <w:numPr>
          <w:ilvl w:val="0"/>
          <w:numId w:val="0"/>
        </w:numPr>
        <w:bidi w:val="0"/>
        <w:ind w:firstLine="643" w:firstLineChars="200"/>
        <w:rPr>
          <w:rFonts w:hint="eastAsia" w:ascii="仿宋_GB2312" w:hAnsi="仿宋_GB2312" w:eastAsia="仿宋_GB2312" w:cs="仿宋_GB2312"/>
          <w:szCs w:val="32"/>
          <w:lang w:eastAsia="zh-CN"/>
        </w:rPr>
      </w:pPr>
      <w:r>
        <w:rPr>
          <w:rFonts w:hint="eastAsia"/>
          <w:b/>
          <w:bCs/>
          <w:lang w:val="en-US" w:eastAsia="zh-CN"/>
        </w:rPr>
        <w:t>截至2023年12月31日</w:t>
      </w:r>
      <w:r>
        <w:rPr>
          <w:rFonts w:hint="eastAsia"/>
          <w:lang w:val="en-US" w:eastAsia="zh-CN"/>
        </w:rPr>
        <w:t>，</w:t>
      </w:r>
      <w:r>
        <w:rPr>
          <w:rFonts w:hint="eastAsia" w:ascii="仿宋_GB2312" w:hAnsi="仿宋_GB2312" w:eastAsia="仿宋_GB2312" w:cs="仿宋_GB2312"/>
          <w:szCs w:val="32"/>
          <w:lang w:val="en-US" w:eastAsia="zh-CN"/>
        </w:rPr>
        <w:t>本部门单位</w:t>
      </w:r>
      <w:r>
        <w:rPr>
          <w:rFonts w:hint="default" w:ascii="仿宋_GB2312" w:hAnsi="仿宋_GB2312" w:eastAsia="仿宋_GB2312" w:cs="仿宋_GB2312"/>
          <w:szCs w:val="32"/>
          <w:lang w:val="en-US" w:eastAsia="zh-CN"/>
        </w:rPr>
        <w:t>占有房屋面积</w:t>
      </w:r>
      <w:r>
        <w:rPr>
          <w:rFonts w:hint="eastAsia" w:ascii="仿宋_GB2312" w:hAnsi="仿宋_GB2312" w:cs="仿宋_GB2312"/>
          <w:szCs w:val="32"/>
          <w:lang w:val="en-US" w:eastAsia="zh-CN"/>
        </w:rPr>
        <w:t>9934.15</w:t>
      </w:r>
      <w:r>
        <w:rPr>
          <w:rFonts w:hint="default" w:ascii="仿宋_GB2312" w:hAnsi="仿宋_GB2312" w:eastAsia="仿宋_GB2312" w:cs="仿宋_GB2312"/>
          <w:szCs w:val="32"/>
          <w:lang w:val="en-US" w:eastAsia="zh-CN"/>
        </w:rPr>
        <w:t>平方米</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rPr>
        <w:t>单价 50 万元以上的通用设备</w:t>
      </w:r>
      <w:r>
        <w:rPr>
          <w:rFonts w:hint="eastAsia" w:ascii="仿宋_GB2312"/>
          <w:bCs/>
          <w:kern w:val="44"/>
          <w:sz w:val="32"/>
          <w:szCs w:val="32"/>
          <w:highlight w:val="none"/>
          <w:u w:val="single"/>
          <w:lang w:val="en-US" w:eastAsia="zh-CN"/>
        </w:rPr>
        <w:t>1</w:t>
      </w:r>
      <w:r>
        <w:rPr>
          <w:rFonts w:hint="eastAsia" w:ascii="仿宋_GB2312" w:hAnsi="仿宋_GB2312" w:eastAsia="仿宋_GB2312" w:cs="仿宋_GB2312"/>
          <w:szCs w:val="32"/>
        </w:rPr>
        <w:t>台</w:t>
      </w:r>
      <w:r>
        <w:rPr>
          <w:rFonts w:hint="eastAsia" w:ascii="仿宋_GB2312" w:hAnsi="仿宋_GB2312" w:cs="仿宋_GB2312"/>
          <w:szCs w:val="32"/>
          <w:lang w:eastAsia="zh-CN"/>
        </w:rPr>
        <w:t>（</w:t>
      </w:r>
      <w:r>
        <w:rPr>
          <w:rFonts w:hint="eastAsia" w:ascii="仿宋_GB2312" w:hAnsi="仿宋_GB2312" w:cs="仿宋_GB2312"/>
          <w:szCs w:val="32"/>
          <w:lang w:val="en-US" w:eastAsia="zh-CN"/>
        </w:rPr>
        <w:t>套）；</w:t>
      </w:r>
      <w:r>
        <w:rPr>
          <w:rFonts w:hint="eastAsia" w:ascii="仿宋_GB2312" w:hAnsi="仿宋_GB2312" w:eastAsia="仿宋_GB2312" w:cs="仿宋_GB2312"/>
          <w:szCs w:val="32"/>
        </w:rPr>
        <w:t>单价 100 万元的以上专用设备</w:t>
      </w:r>
      <w:r>
        <w:rPr>
          <w:rFonts w:hint="eastAsia" w:ascii="仿宋_GB2312"/>
          <w:bCs/>
          <w:kern w:val="44"/>
          <w:sz w:val="32"/>
          <w:szCs w:val="32"/>
          <w:highlight w:val="none"/>
          <w:u w:val="single"/>
          <w:lang w:val="en-US" w:eastAsia="zh-CN"/>
        </w:rPr>
        <w:t>1</w:t>
      </w:r>
      <w:r>
        <w:rPr>
          <w:rFonts w:hint="eastAsia" w:ascii="仿宋_GB2312" w:hAnsi="仿宋_GB2312" w:eastAsia="仿宋_GB2312" w:cs="仿宋_GB2312"/>
          <w:szCs w:val="32"/>
        </w:rPr>
        <w:t>台</w:t>
      </w:r>
      <w:r>
        <w:rPr>
          <w:rFonts w:hint="eastAsia" w:ascii="仿宋_GB2312" w:hAnsi="仿宋_GB2312" w:cs="仿宋_GB2312"/>
          <w:szCs w:val="32"/>
          <w:lang w:eastAsia="zh-CN"/>
        </w:rPr>
        <w:t>（</w:t>
      </w:r>
      <w:r>
        <w:rPr>
          <w:rFonts w:hint="eastAsia" w:ascii="仿宋_GB2312" w:hAnsi="仿宋_GB2312" w:cs="仿宋_GB2312"/>
          <w:szCs w:val="32"/>
          <w:lang w:val="en-US" w:eastAsia="zh-CN"/>
        </w:rPr>
        <w:t>套）；</w:t>
      </w:r>
      <w:r>
        <w:rPr>
          <w:rFonts w:hint="eastAsia" w:ascii="仿宋_GB2312" w:hAnsi="仿宋_GB2312" w:eastAsia="仿宋_GB2312" w:cs="仿宋_GB2312"/>
          <w:szCs w:val="32"/>
        </w:rPr>
        <w:t>现有公务用车</w:t>
      </w:r>
      <w:r>
        <w:rPr>
          <w:rFonts w:hint="eastAsia" w:ascii="仿宋_GB2312" w:hAnsi="仿宋_GB2312" w:cs="仿宋_GB2312"/>
          <w:szCs w:val="32"/>
          <w:lang w:val="en-US" w:eastAsia="zh-CN"/>
        </w:rPr>
        <w:t>1</w:t>
      </w:r>
      <w:r>
        <w:rPr>
          <w:rFonts w:hint="eastAsia" w:ascii="仿宋_GB2312" w:hAnsi="仿宋_GB2312" w:eastAsia="仿宋_GB2312" w:cs="仿宋_GB2312"/>
          <w:szCs w:val="32"/>
        </w:rPr>
        <w:t>辆，其中，应急保障用车</w:t>
      </w:r>
      <w:r>
        <w:rPr>
          <w:rFonts w:hint="eastAsia" w:ascii="仿宋_GB2312" w:hAnsi="仿宋_GB2312" w:cs="仿宋_GB2312"/>
          <w:szCs w:val="32"/>
          <w:lang w:val="en-US" w:eastAsia="zh-CN"/>
        </w:rPr>
        <w:t>1</w:t>
      </w:r>
      <w:r>
        <w:rPr>
          <w:rFonts w:hint="eastAsia" w:ascii="仿宋_GB2312" w:hAnsi="仿宋_GB2312" w:eastAsia="仿宋_GB2312" w:cs="仿宋_GB2312"/>
          <w:szCs w:val="32"/>
        </w:rPr>
        <w:t>辆</w:t>
      </w:r>
      <w:r>
        <w:rPr>
          <w:rFonts w:hint="eastAsia" w:ascii="仿宋_GB2312" w:hAnsi="仿宋_GB2312" w:cs="仿宋_GB2312"/>
          <w:szCs w:val="32"/>
          <w:lang w:eastAsia="zh-CN"/>
        </w:rPr>
        <w:t>。</w:t>
      </w:r>
    </w:p>
    <w:p w14:paraId="646629E9">
      <w:pPr>
        <w:numPr>
          <w:ilvl w:val="0"/>
          <w:numId w:val="0"/>
        </w:numPr>
        <w:bidi w:val="0"/>
        <w:ind w:firstLine="643" w:firstLineChars="200"/>
        <w:rPr>
          <w:rFonts w:hint="default"/>
          <w:sz w:val="28"/>
          <w:szCs w:val="28"/>
          <w:highlight w:val="none"/>
          <w:lang w:val="en-US" w:eastAsia="zh-CN"/>
        </w:rPr>
      </w:pPr>
      <w:r>
        <w:rPr>
          <w:rFonts w:hint="eastAsia" w:ascii="仿宋_GB2312" w:hAnsi="仿宋_GB2312" w:cs="仿宋_GB2312"/>
          <w:b/>
          <w:bCs/>
          <w:szCs w:val="32"/>
          <w:lang w:val="en-US" w:eastAsia="zh-CN"/>
        </w:rPr>
        <w:t>2024</w:t>
      </w:r>
      <w:r>
        <w:rPr>
          <w:rFonts w:hint="eastAsia"/>
          <w:b/>
          <w:bCs/>
          <w:lang w:val="en-US" w:eastAsia="zh-CN"/>
        </w:rPr>
        <w:t>年部门预算安排购置：</w:t>
      </w:r>
      <w:r>
        <w:rPr>
          <w:rFonts w:hint="eastAsia" w:ascii="仿宋_GB2312" w:hAnsi="仿宋" w:cs="仿宋"/>
          <w:sz w:val="32"/>
          <w:szCs w:val="32"/>
          <w:u w:val="none"/>
          <w:lang w:val="en-US" w:eastAsia="zh-CN"/>
        </w:rPr>
        <w:t>车辆0辆，其中，一般公务用车0辆、机要通信用车0辆、应急保障用车0辆、执法执勤用车0辆、特种专业技术用车0辆、其他用车0辆；单价 50 万元以上通用设备0台（套）；单价 100 万元以上专用设备0台（套）</w:t>
      </w:r>
      <w:r>
        <w:rPr>
          <w:rFonts w:hint="default"/>
          <w:sz w:val="28"/>
          <w:szCs w:val="28"/>
          <w:highlight w:val="none"/>
          <w:lang w:val="en-US" w:eastAsia="zh-CN"/>
        </w:rPr>
        <w:t>。</w:t>
      </w:r>
    </w:p>
    <w:p w14:paraId="00C4EE70">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3" w:firstLineChars="200"/>
        <w:jc w:val="both"/>
        <w:textAlignment w:val="auto"/>
        <w:outlineLvl w:val="9"/>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第八部分  重点项目预算绩效情况说明</w:t>
      </w:r>
    </w:p>
    <w:p w14:paraId="33E4646A">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b w:val="0"/>
          <w:bCs w:val="0"/>
          <w:sz w:val="32"/>
          <w:szCs w:val="32"/>
          <w:u w:val="none"/>
          <w:lang w:val="en-US" w:eastAsia="zh-CN"/>
        </w:rPr>
        <w:t>2024</w:t>
      </w:r>
      <w:r>
        <w:rPr>
          <w:rFonts w:hint="eastAsia"/>
          <w:lang w:val="en-US" w:eastAsia="zh-CN"/>
        </w:rPr>
        <w:t>年，本部门（单位）项目支出全面实施绩效目标管理，项目总预算</w:t>
      </w:r>
      <w:r>
        <w:rPr>
          <w:rFonts w:hint="eastAsia" w:ascii="仿宋_GB2312"/>
          <w:bCs/>
          <w:kern w:val="44"/>
          <w:sz w:val="32"/>
          <w:szCs w:val="32"/>
          <w:highlight w:val="none"/>
          <w:u w:val="single"/>
          <w:lang w:val="en-US" w:eastAsia="zh-CN"/>
        </w:rPr>
        <w:t>7792</w:t>
      </w:r>
      <w:r>
        <w:rPr>
          <w:rFonts w:hint="eastAsia"/>
          <w:lang w:val="en-US" w:eastAsia="zh-CN"/>
        </w:rPr>
        <w:t>万元，</w:t>
      </w:r>
      <w:r>
        <w:rPr>
          <w:rFonts w:hint="eastAsia" w:ascii="仿宋_GB2312"/>
          <w:bCs/>
          <w:kern w:val="44"/>
          <w:sz w:val="32"/>
          <w:szCs w:val="32"/>
          <w:highlight w:val="none"/>
          <w:u w:val="single"/>
          <w:lang w:val="en-US" w:eastAsia="zh-CN"/>
        </w:rPr>
        <w:t>12</w:t>
      </w:r>
      <w:r>
        <w:rPr>
          <w:rFonts w:hint="eastAsia"/>
          <w:lang w:val="en-US" w:eastAsia="zh-CN"/>
        </w:rPr>
        <w:t>个项目，比上年增长3049万元，</w:t>
      </w:r>
      <w:r>
        <w:rPr>
          <w:rFonts w:hint="eastAsia" w:ascii="仿宋_GB2312" w:eastAsia="仿宋_GB2312"/>
          <w:bCs/>
          <w:kern w:val="44"/>
          <w:sz w:val="32"/>
          <w:szCs w:val="32"/>
          <w:highlight w:val="none"/>
        </w:rPr>
        <w:t>增长</w:t>
      </w:r>
      <w:r>
        <w:rPr>
          <w:rFonts w:hint="eastAsia" w:ascii="仿宋_GB2312"/>
          <w:bCs/>
          <w:kern w:val="44"/>
          <w:sz w:val="32"/>
          <w:szCs w:val="32"/>
          <w:highlight w:val="none"/>
          <w:lang w:val="en-US" w:eastAsia="zh-CN"/>
        </w:rPr>
        <w:t>64.28</w:t>
      </w:r>
      <w:r>
        <w:rPr>
          <w:rFonts w:hint="eastAsia" w:ascii="仿宋_GB2312" w:eastAsia="仿宋_GB2312"/>
          <w:bCs/>
          <w:kern w:val="44"/>
          <w:sz w:val="32"/>
          <w:szCs w:val="32"/>
          <w:highlight w:val="none"/>
        </w:rPr>
        <w:t>%</w:t>
      </w:r>
      <w:r>
        <w:rPr>
          <w:rFonts w:hint="eastAsia"/>
          <w:lang w:val="en-US" w:eastAsia="zh-CN"/>
        </w:rPr>
        <w:t>。</w:t>
      </w:r>
      <w:r>
        <w:rPr>
          <w:rFonts w:hint="eastAsia" w:ascii="仿宋_GB2312" w:hAnsi="仿宋" w:cs="仿宋"/>
          <w:sz w:val="32"/>
          <w:szCs w:val="32"/>
          <w:lang w:val="en-US" w:eastAsia="zh-CN"/>
        </w:rPr>
        <w:t>根据以前年度绩效评价结果，优化</w:t>
      </w:r>
      <w:r>
        <w:rPr>
          <w:rFonts w:hint="eastAsia" w:ascii="仿宋" w:hAnsi="仿宋" w:eastAsia="仿宋"/>
          <w:sz w:val="32"/>
          <w:szCs w:val="32"/>
          <w:u w:val="none"/>
        </w:rPr>
        <w:t>医疗机构取消药品加成补助经费</w:t>
      </w:r>
      <w:r>
        <w:rPr>
          <w:rFonts w:hint="eastAsia" w:ascii="仿宋_GB2312" w:hAnsi="仿宋" w:cs="仿宋"/>
          <w:sz w:val="32"/>
          <w:szCs w:val="32"/>
          <w:lang w:val="en-US" w:eastAsia="zh-CN"/>
        </w:rPr>
        <w:t>等项目支出</w:t>
      </w:r>
      <w:r>
        <w:rPr>
          <w:rFonts w:hint="eastAsia" w:ascii="黑体" w:hAnsi="黑体" w:eastAsia="黑体" w:cs="黑体"/>
          <w:b w:val="0"/>
          <w:bCs w:val="0"/>
          <w:sz w:val="32"/>
          <w:szCs w:val="32"/>
          <w:u w:val="none"/>
          <w:lang w:val="en-US" w:eastAsia="zh-CN"/>
        </w:rPr>
        <w:t>2024</w:t>
      </w:r>
      <w:r>
        <w:rPr>
          <w:rFonts w:hint="eastAsia"/>
          <w:lang w:val="en-US" w:eastAsia="zh-CN"/>
        </w:rPr>
        <w:t>年预算安排，并进一步改进管理、完善政策。重点项目预算绩效具体情况：</w:t>
      </w:r>
    </w:p>
    <w:p w14:paraId="49CF1554">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1、实施国家基本药物制度补助资金项目。</w:t>
      </w:r>
    </w:p>
    <w:p w14:paraId="6A44D104">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（1）项目概况：</w:t>
      </w:r>
      <w:r>
        <w:rPr>
          <w:rFonts w:hint="eastAsia" w:ascii="仿宋" w:hAnsi="仿宋" w:eastAsia="仿宋" w:cs="仿宋"/>
          <w:color w:val="000000"/>
          <w:sz w:val="32"/>
          <w:szCs w:val="32"/>
          <w:u w:val="none"/>
          <w:shd w:val="clear" w:color="auto" w:fill="FFFFFF"/>
        </w:rPr>
        <w:t>保证基本药物足量供应和合理使用，有利于保障群众基本用药权益，转变“以药补医”机制，也有利于促进药品生产流通企业资源优化整合，对于实现人人享有基本医疗卫生服务，维护人民健康，体现社会公平，减轻群众用药负担，推动卫生事业发展。围绕公共卫生和人民群众常见病、多发病和重点疾病，以及基本医疗卫生保健需求，积极组织开展以循证医学证据为基础的药品成本效益和药物经济学等分析评估，遴选国家基本药物，保证人民群众基本用药。目录内的基本药物价格实施零差率销售。对基层医疗机构药品收支结余减少部分，我市设立基层医疗机构实施国家基本药物制度补助经费，保障基层</w:t>
      </w:r>
      <w:r>
        <w:rPr>
          <w:rFonts w:hint="eastAsia" w:ascii="仿宋" w:hAnsi="仿宋" w:eastAsia="仿宋" w:cs="仿宋"/>
          <w:color w:val="000000"/>
          <w:sz w:val="32"/>
          <w:szCs w:val="32"/>
          <w:u w:val="none"/>
          <w:shd w:val="clear" w:color="auto" w:fill="FFFFFF"/>
          <w:lang w:eastAsia="zh-CN"/>
        </w:rPr>
        <w:t>医疗机构</w:t>
      </w:r>
      <w:r>
        <w:rPr>
          <w:rFonts w:hint="eastAsia" w:ascii="仿宋" w:hAnsi="仿宋" w:eastAsia="仿宋" w:cs="仿宋"/>
          <w:color w:val="000000"/>
          <w:sz w:val="32"/>
          <w:szCs w:val="32"/>
          <w:u w:val="none"/>
          <w:shd w:val="clear" w:color="auto" w:fill="FFFFFF"/>
        </w:rPr>
        <w:t>运转，人员支出。</w:t>
      </w:r>
    </w:p>
    <w:p w14:paraId="06DCBE00">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（2）项目内容：</w:t>
      </w:r>
      <w:r>
        <w:rPr>
          <w:rFonts w:hint="eastAsia"/>
          <w:u w:val="none"/>
          <w:lang w:val="en-US" w:eastAsia="zh-CN"/>
        </w:rPr>
        <w:t>根据卫生部等九部委《关于印发&lt;关于建立国家基本药物制度的实施意见&gt;的通知》（卫药政发〔2009〕78号），实行基本药物制度的县（市、区），政府举办的基层医疗卫生机构配备使用的基本药物实行零差率销售，各地要按国家规定落实相关政府补助政策。《财政部 国家卫生计生委关于印发&lt;基层医疗卫生机构实施国家基本药物制度补助资金管理办法&gt;的通知》（财社〔2014〕139号）、《关于印发&lt;湖北省基层医疗卫生机构实施国家基本药物制度补助资金管理实施办法&gt;的通知》（鄂财社发〔2014〕109号）、《关于印发&lt;黄石市基层医疗卫生机构实施国家基本药物制度补助资金管理实施办法&gt;的通知》（黄财社发〔2015〕50号），国家、省、市均设立基层医疗卫生机构实施国家基本药物制度补助资金。</w:t>
      </w:r>
    </w:p>
    <w:p w14:paraId="185DFC7D">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eastAsia="仿宋"/>
          <w:lang w:val="en-US" w:eastAsia="zh-CN"/>
        </w:rPr>
      </w:pPr>
      <w:r>
        <w:rPr>
          <w:rFonts w:hint="eastAsia"/>
          <w:lang w:val="en-US" w:eastAsia="zh-CN"/>
        </w:rPr>
        <w:t>（3）立项依据：</w:t>
      </w:r>
      <w:r>
        <w:rPr>
          <w:rFonts w:hint="eastAsia" w:ascii="仿宋" w:hAnsi="仿宋" w:eastAsia="仿宋" w:cs="仿宋"/>
          <w:color w:val="000000"/>
          <w:sz w:val="32"/>
          <w:szCs w:val="32"/>
          <w:u w:val="none"/>
          <w:shd w:val="clear" w:color="auto" w:fill="FFFFFF"/>
        </w:rPr>
        <w:t>《国家发改委、卫生部关于建立</w:t>
      </w:r>
      <w:r>
        <w:rPr>
          <w:rFonts w:hint="eastAsia" w:ascii="仿宋" w:hAnsi="仿宋" w:eastAsia="仿宋" w:cs="仿宋"/>
          <w:color w:val="000000"/>
          <w:sz w:val="32"/>
          <w:szCs w:val="32"/>
          <w:u w:val="none"/>
          <w:shd w:val="clear" w:color="auto" w:fill="FFFFFF"/>
        </w:rPr>
        <w:fldChar w:fldCharType="begin"/>
      </w:r>
      <w:r>
        <w:rPr>
          <w:rFonts w:hint="eastAsia" w:ascii="仿宋" w:hAnsi="仿宋" w:eastAsia="仿宋" w:cs="仿宋"/>
          <w:color w:val="000000"/>
          <w:sz w:val="32"/>
          <w:szCs w:val="32"/>
          <w:u w:val="none"/>
          <w:shd w:val="clear" w:color="auto" w:fill="FFFFFF"/>
        </w:rPr>
        <w:instrText xml:space="preserve">HYPERLINK "https://baike.so.com/doc/5384109-5620517.html"</w:instrText>
      </w:r>
      <w:r>
        <w:rPr>
          <w:rFonts w:hint="eastAsia" w:ascii="仿宋" w:hAnsi="仿宋" w:eastAsia="仿宋" w:cs="仿宋"/>
          <w:color w:val="000000"/>
          <w:sz w:val="32"/>
          <w:szCs w:val="32"/>
          <w:u w:val="none"/>
          <w:shd w:val="clear" w:color="auto" w:fill="FFFFFF"/>
        </w:rPr>
        <w:fldChar w:fldCharType="separate"/>
      </w:r>
      <w:r>
        <w:rPr>
          <w:rFonts w:hint="eastAsia" w:ascii="仿宋" w:hAnsi="仿宋" w:eastAsia="仿宋" w:cs="仿宋"/>
          <w:color w:val="000000"/>
          <w:sz w:val="32"/>
          <w:szCs w:val="32"/>
          <w:u w:val="none"/>
          <w:shd w:val="clear" w:color="auto" w:fill="FFFFFF"/>
        </w:rPr>
        <w:t>国家基本药物</w:t>
      </w:r>
      <w:r>
        <w:rPr>
          <w:rFonts w:hint="eastAsia" w:ascii="仿宋" w:hAnsi="仿宋" w:eastAsia="仿宋" w:cs="仿宋"/>
          <w:color w:val="000000"/>
          <w:sz w:val="32"/>
          <w:szCs w:val="32"/>
          <w:u w:val="none"/>
          <w:shd w:val="clear" w:color="auto" w:fill="FFFFFF"/>
        </w:rPr>
        <w:fldChar w:fldCharType="end"/>
      </w:r>
      <w:r>
        <w:rPr>
          <w:rFonts w:hint="eastAsia" w:ascii="仿宋" w:hAnsi="仿宋" w:eastAsia="仿宋" w:cs="仿宋"/>
          <w:color w:val="000000"/>
          <w:sz w:val="32"/>
          <w:szCs w:val="32"/>
          <w:u w:val="none"/>
          <w:shd w:val="clear" w:color="auto" w:fill="FFFFFF"/>
        </w:rPr>
        <w:t>制度的实施意见》和《关于完善国家基本药物制度的意见》文件精神，我市制定《</w:t>
      </w:r>
      <w:r>
        <w:rPr>
          <w:rFonts w:hint="eastAsia" w:ascii="仿宋" w:hAnsi="仿宋" w:eastAsia="仿宋" w:cs="仿宋"/>
          <w:color w:val="000000"/>
          <w:sz w:val="32"/>
          <w:szCs w:val="32"/>
          <w:u w:val="none"/>
          <w:shd w:val="clear" w:color="auto" w:fill="FFFFFF"/>
        </w:rPr>
        <w:fldChar w:fldCharType="begin"/>
      </w:r>
      <w:r>
        <w:rPr>
          <w:rFonts w:hint="eastAsia" w:ascii="仿宋" w:hAnsi="仿宋" w:eastAsia="仿宋" w:cs="仿宋"/>
          <w:color w:val="000000"/>
          <w:sz w:val="32"/>
          <w:szCs w:val="32"/>
          <w:u w:val="none"/>
          <w:shd w:val="clear" w:color="auto" w:fill="FFFFFF"/>
        </w:rPr>
        <w:instrText xml:space="preserve">HYPERLINK "https://baike.so.com/doc/5384109-5620517.html"</w:instrText>
      </w:r>
      <w:r>
        <w:rPr>
          <w:rFonts w:hint="eastAsia" w:ascii="仿宋" w:hAnsi="仿宋" w:eastAsia="仿宋" w:cs="仿宋"/>
          <w:color w:val="000000"/>
          <w:sz w:val="32"/>
          <w:szCs w:val="32"/>
          <w:u w:val="none"/>
          <w:shd w:val="clear" w:color="auto" w:fill="FFFFFF"/>
        </w:rPr>
        <w:fldChar w:fldCharType="separate"/>
      </w:r>
      <w:r>
        <w:rPr>
          <w:rFonts w:hint="eastAsia" w:ascii="仿宋" w:hAnsi="仿宋" w:eastAsia="仿宋" w:cs="仿宋"/>
          <w:color w:val="000000"/>
          <w:sz w:val="32"/>
          <w:szCs w:val="32"/>
          <w:u w:val="none"/>
          <w:shd w:val="clear" w:color="auto" w:fill="FFFFFF"/>
        </w:rPr>
        <w:t>国家基本药物</w:t>
      </w:r>
      <w:r>
        <w:rPr>
          <w:rFonts w:hint="eastAsia" w:ascii="仿宋" w:hAnsi="仿宋" w:eastAsia="仿宋" w:cs="仿宋"/>
          <w:color w:val="000000"/>
          <w:sz w:val="32"/>
          <w:szCs w:val="32"/>
          <w:u w:val="none"/>
          <w:shd w:val="clear" w:color="auto" w:fill="FFFFFF"/>
        </w:rPr>
        <w:fldChar w:fldCharType="end"/>
      </w:r>
      <w:r>
        <w:rPr>
          <w:rFonts w:hint="eastAsia" w:ascii="仿宋" w:hAnsi="仿宋" w:eastAsia="仿宋" w:cs="仿宋"/>
          <w:color w:val="000000"/>
          <w:sz w:val="32"/>
          <w:szCs w:val="32"/>
          <w:u w:val="none"/>
          <w:shd w:val="clear" w:color="auto" w:fill="FFFFFF"/>
        </w:rPr>
        <w:t>制度目录》</w:t>
      </w:r>
      <w:r>
        <w:rPr>
          <w:rFonts w:hint="eastAsia" w:ascii="仿宋" w:hAnsi="仿宋" w:eastAsia="仿宋" w:cs="仿宋"/>
          <w:color w:val="000000"/>
          <w:sz w:val="32"/>
          <w:szCs w:val="32"/>
          <w:u w:val="none"/>
          <w:shd w:val="clear" w:color="auto" w:fill="FFFFFF"/>
          <w:lang w:eastAsia="zh-CN"/>
        </w:rPr>
        <w:t>。</w:t>
      </w:r>
    </w:p>
    <w:p w14:paraId="0394E8E5">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（4）实施单位：</w:t>
      </w:r>
      <w:r>
        <w:rPr>
          <w:rFonts w:hint="eastAsia"/>
          <w:highlight w:val="none"/>
          <w:u w:val="none"/>
          <w:lang w:val="en-US" w:eastAsia="zh-CN"/>
        </w:rPr>
        <w:t>黄石市卫生健康委员会。</w:t>
      </w:r>
    </w:p>
    <w:p w14:paraId="0B6F1777">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（5）项目期：2024年度。</w:t>
      </w:r>
    </w:p>
    <w:p w14:paraId="2994717E">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lang w:val="en-US" w:eastAsia="zh-CN"/>
        </w:rPr>
      </w:pPr>
      <w:r>
        <w:rPr>
          <w:rFonts w:hint="eastAsia"/>
          <w:lang w:val="en-US" w:eastAsia="zh-CN"/>
        </w:rPr>
        <w:t>（6）年度预算安排：</w:t>
      </w:r>
      <w:r>
        <w:rPr>
          <w:rFonts w:hint="eastAsia" w:ascii="黑体" w:hAnsi="黑体" w:eastAsia="黑体" w:cs="黑体"/>
          <w:b w:val="0"/>
          <w:bCs w:val="0"/>
          <w:sz w:val="32"/>
          <w:szCs w:val="32"/>
          <w:u w:val="none"/>
          <w:lang w:val="en-US" w:eastAsia="zh-CN"/>
        </w:rPr>
        <w:t>2024</w:t>
      </w:r>
      <w:r>
        <w:rPr>
          <w:rFonts w:hint="eastAsia"/>
          <w:lang w:val="en-US" w:eastAsia="zh-CN"/>
        </w:rPr>
        <w:t>年预算安排</w:t>
      </w:r>
      <w:r>
        <w:rPr>
          <w:rFonts w:hint="eastAsia" w:ascii="仿宋_GB2312"/>
          <w:bCs/>
          <w:kern w:val="44"/>
          <w:sz w:val="32"/>
          <w:szCs w:val="32"/>
          <w:highlight w:val="none"/>
          <w:u w:val="single"/>
          <w:lang w:val="en-US" w:eastAsia="zh-CN"/>
        </w:rPr>
        <w:t>200</w:t>
      </w:r>
      <w:r>
        <w:rPr>
          <w:rFonts w:hint="eastAsia"/>
          <w:lang w:val="en-US" w:eastAsia="zh-CN"/>
        </w:rPr>
        <w:t>万元，</w:t>
      </w:r>
      <w:r>
        <w:rPr>
          <w:rFonts w:hint="eastAsia"/>
          <w:u w:val="none"/>
          <w:lang w:val="en-US" w:eastAsia="zh-CN"/>
        </w:rPr>
        <w:t>比上年增长0万元，</w:t>
      </w:r>
      <w:r>
        <w:rPr>
          <w:rFonts w:hint="eastAsia" w:ascii="仿宋_GB2312" w:eastAsia="仿宋_GB2312"/>
          <w:bCs/>
          <w:kern w:val="44"/>
          <w:sz w:val="32"/>
          <w:szCs w:val="32"/>
          <w:highlight w:val="none"/>
          <w:u w:val="none"/>
        </w:rPr>
        <w:t>增长</w:t>
      </w:r>
      <w:r>
        <w:rPr>
          <w:rFonts w:hint="eastAsia" w:ascii="仿宋_GB2312"/>
          <w:bCs/>
          <w:kern w:val="44"/>
          <w:sz w:val="32"/>
          <w:szCs w:val="32"/>
          <w:highlight w:val="none"/>
          <w:u w:val="none"/>
          <w:lang w:val="en-US" w:eastAsia="zh-CN"/>
        </w:rPr>
        <w:t>0</w:t>
      </w:r>
      <w:r>
        <w:rPr>
          <w:rFonts w:hint="eastAsia" w:ascii="仿宋_GB2312" w:eastAsia="仿宋_GB2312"/>
          <w:bCs/>
          <w:kern w:val="44"/>
          <w:sz w:val="32"/>
          <w:szCs w:val="32"/>
          <w:highlight w:val="none"/>
          <w:u w:val="none"/>
        </w:rPr>
        <w:t>%</w:t>
      </w:r>
      <w:r>
        <w:rPr>
          <w:rFonts w:hint="eastAsia"/>
          <w:u w:val="none"/>
          <w:lang w:val="en-US" w:eastAsia="zh-CN"/>
        </w:rPr>
        <w:t>。其中，200万元资金来源全部为当年一般公共预算财政拨款</w:t>
      </w:r>
      <w:r>
        <w:rPr>
          <w:rFonts w:hint="eastAsia"/>
          <w:lang w:val="en-US" w:eastAsia="zh-CN"/>
        </w:rPr>
        <w:t>。</w:t>
      </w:r>
    </w:p>
    <w:p w14:paraId="2AA6411F">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（7）</w:t>
      </w:r>
      <w:r>
        <w:rPr>
          <w:rFonts w:hint="eastAsia" w:ascii="黑体" w:hAnsi="黑体" w:eastAsia="黑体" w:cs="黑体"/>
          <w:b w:val="0"/>
          <w:bCs w:val="0"/>
          <w:sz w:val="32"/>
          <w:szCs w:val="32"/>
          <w:u w:val="none"/>
          <w:lang w:val="en-US" w:eastAsia="zh-CN"/>
        </w:rPr>
        <w:t>2024</w:t>
      </w:r>
      <w:r>
        <w:rPr>
          <w:rFonts w:hint="eastAsia"/>
          <w:lang w:val="en-US" w:eastAsia="zh-CN"/>
        </w:rPr>
        <w:t>年度项目绩效总目标是：基层医疗机构实施国家基本药物制度，推进综合改革顺利进行,对实施国家基本药物制度的基层医疗机构给予补助，支持国家基本药物制度在基层医疗机构顺利实施。</w:t>
      </w:r>
    </w:p>
    <w:p w14:paraId="533B99E3">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产出指标：</w:t>
      </w:r>
      <w:r>
        <w:rPr>
          <w:rFonts w:hint="eastAsia"/>
          <w:u w:val="none"/>
          <w:lang w:val="en-US" w:eastAsia="zh-CN"/>
        </w:rPr>
        <w:t>基层医疗卫生机构实施国家基本药物制度覆盖率100%，村卫生室实施国家基本药物制度覆盖率100%，村卫生室服务能力持续提升。工作完成及时率100%，预算控制率100%</w:t>
      </w:r>
      <w:r>
        <w:rPr>
          <w:rFonts w:hint="eastAsia"/>
          <w:lang w:val="en-US" w:eastAsia="zh-CN"/>
        </w:rPr>
        <w:t>。</w:t>
      </w:r>
    </w:p>
    <w:p w14:paraId="59660203">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效益指标：乡村医生收入保持稳定，村卫生室工作人员素质持续提升。</w:t>
      </w:r>
    </w:p>
    <w:p w14:paraId="3C1CE6B2">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满意度指标：服务对象满意度指标80%以上。</w:t>
      </w:r>
    </w:p>
    <w:p w14:paraId="5F2B3AC3">
      <w:pPr>
        <w:keepNext w:val="0"/>
        <w:keepLines w:val="0"/>
        <w:pageBreakBefore w:val="0"/>
        <w:widowControl w:val="0"/>
        <w:numPr>
          <w:ilvl w:val="0"/>
          <w:numId w:val="2"/>
        </w:numPr>
        <w:kinsoku/>
        <w:wordWrap/>
        <w:overflowPunct/>
        <w:topLinePunct w:val="0"/>
        <w:autoSpaceDE/>
        <w:autoSpaceDN/>
        <w:bidi w:val="0"/>
        <w:spacing w:line="480" w:lineRule="exact"/>
        <w:ind w:right="0" w:rightChars="0" w:firstLine="640" w:firstLineChars="200"/>
        <w:jc w:val="both"/>
        <w:textAlignment w:val="auto"/>
        <w:outlineLvl w:val="9"/>
        <w:rPr>
          <w:rFonts w:hint="eastAsia"/>
          <w:lang w:val="en-US" w:eastAsia="zh-CN"/>
        </w:rPr>
      </w:pPr>
      <w:r>
        <w:rPr>
          <w:rFonts w:hint="eastAsia"/>
          <w:lang w:val="en-US" w:eastAsia="zh-CN"/>
        </w:rPr>
        <w:t>重点专科建设发展经费项目。</w:t>
      </w:r>
    </w:p>
    <w:p w14:paraId="3DBD71B5">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（1）项目概况：本项目通过对市级公立医院临床重点学科建设以奖代补，促进医院加大学科建设投入和人才、技术引进，提升全市临床诊疗服务能力和医疗质量。 根据国家、省级重点专科的设置条件，结合我市实际情况，2023年积极争创国家级临床重点专科项目1个，新创建省级临床重点专科8-10个。</w:t>
      </w:r>
    </w:p>
    <w:p w14:paraId="71CBE835">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2）项目内容：《国务院办公厅关于城市公立医院综合改革试点的指导意见》（国办发〔2015〕38号）等文件要求，各级政府要落实符合区域卫生规划的公立医院基本建设和设备购置、重点学科发展、人才培养、符合国家规定的离退休人员费用和政策性亏损补贴等投入。省、市卫生行政部门分别制定了《湖北省临床重点专科建设管理办法》（鄂卫办法〔2009〕205号和《黄石市临床重点专科建设奖励办法》（黄卫发〔2013〕130号）等临床重点专科建设相关管理规范和奖励方案，对成功创建的国家级、省级、黄石市级临床重点专科分别予以不同等次的经费奖励</w:t>
      </w:r>
      <w:r>
        <w:rPr>
          <w:rFonts w:hint="eastAsia"/>
          <w:u w:val="none"/>
          <w:lang w:val="en-US" w:eastAsia="zh-CN"/>
        </w:rPr>
        <w:t>。</w:t>
      </w:r>
    </w:p>
    <w:p w14:paraId="7751D7F0">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eastAsia="仿宋"/>
          <w:lang w:val="en-US" w:eastAsia="zh-CN"/>
        </w:rPr>
      </w:pPr>
      <w:r>
        <w:rPr>
          <w:rFonts w:hint="eastAsia"/>
          <w:lang w:val="en-US" w:eastAsia="zh-CN"/>
        </w:rPr>
        <w:t>（3）立项依据：市委人才办等6部门《关于印发&lt;关于进一步加强卫生健康人才队伍建设的若干措施&gt;的通知》（黄卫通〔2023〕3号）明确提出，新创建国家级临床重点专科、临床医学中心、实验室的，由市级财政给予100万资金支持，成功新创建省级临床重点专科、临床医学中心、实验室的，由市级财政给予30万资金支持。按照新创建1个国家级临床重点专科、8个省级临床重点专科计算，合计300万元。经费用于补助医疗机构在临床学科建设、进修培训、学术研讨、学科能力提升等方面的支出。经费用于医疗机构学科建设，进修培训，学术研讨，学科能力提升等方面</w:t>
      </w:r>
      <w:r>
        <w:rPr>
          <w:rFonts w:hint="eastAsia" w:ascii="仿宋" w:hAnsi="仿宋" w:eastAsia="仿宋" w:cs="仿宋"/>
          <w:color w:val="000000"/>
          <w:sz w:val="32"/>
          <w:szCs w:val="32"/>
          <w:u w:val="none"/>
          <w:shd w:val="clear" w:color="auto" w:fill="FFFFFF"/>
          <w:lang w:eastAsia="zh-CN"/>
        </w:rPr>
        <w:t>。</w:t>
      </w:r>
    </w:p>
    <w:p w14:paraId="720AD12C">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（4）实施单位：</w:t>
      </w:r>
      <w:r>
        <w:rPr>
          <w:rFonts w:hint="eastAsia"/>
          <w:highlight w:val="none"/>
          <w:u w:val="none"/>
          <w:lang w:val="en-US" w:eastAsia="zh-CN"/>
        </w:rPr>
        <w:t>黄石市卫生健康委员会。</w:t>
      </w:r>
    </w:p>
    <w:p w14:paraId="25D656B6">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（5）项目期：2024年度。</w:t>
      </w:r>
    </w:p>
    <w:p w14:paraId="4BD28FE8">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（6）年度预算安排：</w:t>
      </w:r>
      <w:r>
        <w:rPr>
          <w:rFonts w:hint="eastAsia" w:ascii="黑体" w:hAnsi="黑体" w:eastAsia="黑体" w:cs="黑体"/>
          <w:b w:val="0"/>
          <w:bCs w:val="0"/>
          <w:sz w:val="32"/>
          <w:szCs w:val="32"/>
          <w:u w:val="none"/>
          <w:lang w:val="en-US" w:eastAsia="zh-CN"/>
        </w:rPr>
        <w:t>2024</w:t>
      </w:r>
      <w:r>
        <w:rPr>
          <w:rFonts w:hint="eastAsia"/>
          <w:lang w:val="en-US" w:eastAsia="zh-CN"/>
        </w:rPr>
        <w:t>年预算安排3</w:t>
      </w:r>
      <w:r>
        <w:rPr>
          <w:rFonts w:hint="eastAsia" w:ascii="仿宋_GB2312"/>
          <w:bCs/>
          <w:kern w:val="44"/>
          <w:sz w:val="32"/>
          <w:szCs w:val="32"/>
          <w:highlight w:val="none"/>
          <w:u w:val="single"/>
          <w:lang w:val="en-US" w:eastAsia="zh-CN"/>
        </w:rPr>
        <w:t>00</w:t>
      </w:r>
      <w:r>
        <w:rPr>
          <w:rFonts w:hint="eastAsia"/>
          <w:lang w:val="en-US" w:eastAsia="zh-CN"/>
        </w:rPr>
        <w:t>万元，</w:t>
      </w:r>
      <w:r>
        <w:rPr>
          <w:rFonts w:hint="eastAsia"/>
          <w:u w:val="none"/>
          <w:lang w:val="en-US" w:eastAsia="zh-CN"/>
        </w:rPr>
        <w:t>比上年增长300万元，</w:t>
      </w:r>
      <w:r>
        <w:rPr>
          <w:rFonts w:hint="eastAsia" w:ascii="仿宋_GB2312" w:eastAsia="仿宋_GB2312"/>
          <w:bCs/>
          <w:kern w:val="44"/>
          <w:sz w:val="32"/>
          <w:szCs w:val="32"/>
          <w:highlight w:val="none"/>
          <w:u w:val="none"/>
        </w:rPr>
        <w:t>增长</w:t>
      </w:r>
      <w:r>
        <w:rPr>
          <w:rFonts w:hint="eastAsia" w:ascii="仿宋_GB2312"/>
          <w:bCs/>
          <w:kern w:val="44"/>
          <w:sz w:val="32"/>
          <w:szCs w:val="32"/>
          <w:highlight w:val="none"/>
          <w:u w:val="none"/>
          <w:lang w:val="en-US" w:eastAsia="zh-CN"/>
        </w:rPr>
        <w:t>100</w:t>
      </w:r>
      <w:r>
        <w:rPr>
          <w:rFonts w:hint="eastAsia" w:ascii="仿宋_GB2312" w:eastAsia="仿宋_GB2312"/>
          <w:bCs/>
          <w:kern w:val="44"/>
          <w:sz w:val="32"/>
          <w:szCs w:val="32"/>
          <w:highlight w:val="none"/>
          <w:u w:val="none"/>
        </w:rPr>
        <w:t>%</w:t>
      </w:r>
      <w:r>
        <w:rPr>
          <w:rFonts w:hint="eastAsia"/>
          <w:u w:val="none"/>
          <w:lang w:val="en-US" w:eastAsia="zh-CN"/>
        </w:rPr>
        <w:t>。其中，300万元资金来源全部为当年一般公共预算财政拨款</w:t>
      </w:r>
      <w:r>
        <w:rPr>
          <w:rFonts w:hint="eastAsia"/>
          <w:lang w:val="en-US" w:eastAsia="zh-CN"/>
        </w:rPr>
        <w:t>。</w:t>
      </w:r>
    </w:p>
    <w:p w14:paraId="359B2D30">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（7）</w:t>
      </w:r>
      <w:r>
        <w:rPr>
          <w:rFonts w:hint="eastAsia" w:ascii="黑体" w:hAnsi="黑体" w:eastAsia="黑体" w:cs="黑体"/>
          <w:b w:val="0"/>
          <w:bCs w:val="0"/>
          <w:sz w:val="32"/>
          <w:szCs w:val="32"/>
          <w:u w:val="none"/>
          <w:lang w:val="en-US" w:eastAsia="zh-CN"/>
        </w:rPr>
        <w:t>2024</w:t>
      </w:r>
      <w:r>
        <w:rPr>
          <w:rFonts w:hint="eastAsia"/>
          <w:lang w:val="en-US" w:eastAsia="zh-CN"/>
        </w:rPr>
        <w:t>年度项目绩效总目标是：新创建国家级临床重点专科1个，新创建省级临床重点专科8-10个。</w:t>
      </w:r>
    </w:p>
    <w:p w14:paraId="26F9B99C">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产出指标：新创建国家级临床重点专科1个，新创建省级临床重点专科8-10个；三级公立医院CMI≥1，三级公立医院DRG组数≥700组，工作任务完成及时率100%。</w:t>
      </w:r>
    </w:p>
    <w:p w14:paraId="3ABBA876">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效益指标：重大疾病临床诊疗能力水平提升，促进全市医疗卫生事业高质量发展，黄石市医疗服务能力及区域地位提升。</w:t>
      </w:r>
    </w:p>
    <w:p w14:paraId="3D3F594C">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满意度指标：公立医院住院患者满意度≥91.71%。</w:t>
      </w:r>
    </w:p>
    <w:p w14:paraId="6B83A1DD">
      <w:pPr>
        <w:keepNext w:val="0"/>
        <w:keepLines w:val="0"/>
        <w:pageBreakBefore w:val="0"/>
        <w:widowControl w:val="0"/>
        <w:numPr>
          <w:ilvl w:val="0"/>
          <w:numId w:val="2"/>
        </w:numPr>
        <w:kinsoku/>
        <w:wordWrap/>
        <w:overflowPunct/>
        <w:topLinePunct w:val="0"/>
        <w:autoSpaceDE/>
        <w:autoSpaceDN/>
        <w:bidi w:val="0"/>
        <w:spacing w:line="480" w:lineRule="exact"/>
        <w:ind w:right="0" w:rightChars="0" w:firstLine="640" w:firstLineChars="200"/>
        <w:jc w:val="both"/>
        <w:textAlignment w:val="auto"/>
        <w:outlineLvl w:val="9"/>
        <w:rPr>
          <w:rFonts w:hint="eastAsia"/>
          <w:lang w:val="en-US" w:eastAsia="zh-CN"/>
        </w:rPr>
      </w:pPr>
      <w:r>
        <w:rPr>
          <w:rFonts w:hint="eastAsia"/>
          <w:lang w:val="en-US" w:eastAsia="zh-CN"/>
        </w:rPr>
        <w:t>城镇独生子女年老父母计划生育奖励项目。</w:t>
      </w:r>
    </w:p>
    <w:p w14:paraId="4FAB6D1B">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eastAsia="仿宋"/>
          <w:u w:val="none"/>
          <w:lang w:val="en-US" w:eastAsia="zh-CN"/>
        </w:rPr>
      </w:pPr>
      <w:r>
        <w:rPr>
          <w:rFonts w:hint="eastAsia"/>
          <w:u w:val="none"/>
          <w:lang w:val="en-US" w:eastAsia="zh-CN"/>
        </w:rPr>
        <w:t>（1）项目概况：</w:t>
      </w:r>
      <w:r>
        <w:rPr>
          <w:rFonts w:ascii="仿宋" w:hAnsi="仿宋" w:eastAsia="仿宋"/>
          <w:sz w:val="32"/>
          <w:szCs w:val="32"/>
          <w:u w:val="none"/>
        </w:rPr>
        <w:t>城镇独生子女年老父母计划生育奖励是落实计划生育基本国策，稳定低生育水平投入保障措施；支持计划生育工作，促进人口长期均衡发展；主要投入：对国有和县属以上集体企业领取了《独生子女证》或《独生子女父母光荣证》。1、对男性年满60周岁，女性年满55周岁，只生育（含依法收养）一个子女且领取了《独生子女证》或《独生子女父母光荣证》的户籍在我市的城镇居民 未享受机关事业单位、企业退休职工计生奖励政策及农村部分计划生育家庭奖励扶助政策的独生子女父母，每人一次性奖励3500元</w:t>
      </w:r>
      <w:r>
        <w:rPr>
          <w:rFonts w:hint="eastAsia" w:ascii="仿宋" w:hAnsi="仿宋" w:eastAsia="仿宋"/>
          <w:sz w:val="32"/>
          <w:szCs w:val="32"/>
          <w:u w:val="none"/>
          <w:lang w:eastAsia="zh-CN"/>
        </w:rPr>
        <w:t>。</w:t>
      </w:r>
    </w:p>
    <w:p w14:paraId="5DA3F368">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（2）项目内容：</w:t>
      </w:r>
      <w:r>
        <w:rPr>
          <w:rFonts w:hint="eastAsia" w:ascii="仿宋" w:hAnsi="仿宋" w:eastAsia="仿宋"/>
          <w:bCs/>
          <w:sz w:val="32"/>
          <w:szCs w:val="32"/>
          <w:u w:val="none"/>
        </w:rPr>
        <w:t>据测算</w:t>
      </w:r>
      <w:r>
        <w:rPr>
          <w:rFonts w:hint="eastAsia" w:ascii="仿宋" w:hAnsi="仿宋" w:eastAsia="仿宋"/>
          <w:sz w:val="32"/>
          <w:szCs w:val="32"/>
          <w:u w:val="none"/>
        </w:rPr>
        <w:t>，我市每年符合政策人数约为3000人，每人奖励3500元，市级财政承担1000万元。</w:t>
      </w:r>
    </w:p>
    <w:p w14:paraId="02E53095">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（3）立项依据：</w:t>
      </w:r>
      <w:r>
        <w:rPr>
          <w:rFonts w:ascii="仿宋" w:hAnsi="仿宋" w:eastAsia="仿宋"/>
          <w:sz w:val="32"/>
          <w:szCs w:val="32"/>
          <w:u w:val="none"/>
        </w:rPr>
        <w:t>《中华人民共和国人口与计划生育法》和《湖北省人口与计划生育条例》 明确规定，在国家提倡一对夫妻生育一个子女期间，按照规定应当享受计划生育家庭老年人奖励扶助的，继续享受相关奖励扶助。《中共中央国务院关于全面加强人口和计划生育工作统筹解决人口问题的决定》(中发〔 2006〕22 号)、《中共中央国务院关于全面实施两孩政策改革完善计划生育服务管理的决定》(中发〔2015〕40号)和《中共湖北省委湖北省人民政府关于全面加强人口和计划生育工作统筹解决人口问题的决定》(鄂发〔2007〕25号)</w:t>
      </w:r>
      <w:r>
        <w:rPr>
          <w:rFonts w:hint="eastAsia" w:ascii="仿宋" w:hAnsi="仿宋" w:eastAsia="仿宋"/>
          <w:sz w:val="32"/>
          <w:szCs w:val="32"/>
          <w:u w:val="none"/>
        </w:rPr>
        <w:t>。</w:t>
      </w:r>
    </w:p>
    <w:p w14:paraId="6E805304">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highlight w:val="none"/>
          <w:u w:val="none"/>
          <w:lang w:val="en-US" w:eastAsia="zh-CN"/>
        </w:rPr>
      </w:pPr>
      <w:r>
        <w:rPr>
          <w:rFonts w:hint="eastAsia"/>
          <w:highlight w:val="none"/>
          <w:u w:val="none"/>
          <w:lang w:val="en-US" w:eastAsia="zh-CN"/>
        </w:rPr>
        <w:t>（4）实施单位：黄石市卫生健康委员会。</w:t>
      </w:r>
    </w:p>
    <w:p w14:paraId="090F7E76">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highlight w:val="none"/>
          <w:u w:val="none"/>
          <w:lang w:val="en-US" w:eastAsia="zh-CN"/>
        </w:rPr>
      </w:pPr>
      <w:r>
        <w:rPr>
          <w:rFonts w:hint="eastAsia"/>
          <w:highlight w:val="none"/>
          <w:u w:val="none"/>
          <w:lang w:val="en-US" w:eastAsia="zh-CN"/>
        </w:rPr>
        <w:t>（5）项目期：2024年。</w:t>
      </w:r>
    </w:p>
    <w:p w14:paraId="186FC0A5">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（6）年度预算安排：2024年预算安排</w:t>
      </w:r>
      <w:r>
        <w:rPr>
          <w:rFonts w:hint="eastAsia" w:ascii="仿宋_GB2312"/>
          <w:bCs/>
          <w:kern w:val="44"/>
          <w:sz w:val="32"/>
          <w:szCs w:val="32"/>
          <w:highlight w:val="none"/>
          <w:u w:val="none"/>
          <w:lang w:val="en-US" w:eastAsia="zh-CN"/>
        </w:rPr>
        <w:t>1000</w:t>
      </w:r>
      <w:r>
        <w:rPr>
          <w:rFonts w:hint="eastAsia"/>
          <w:u w:val="none"/>
          <w:lang w:val="en-US" w:eastAsia="zh-CN"/>
        </w:rPr>
        <w:t>万元，比上年增长</w:t>
      </w:r>
      <w:r>
        <w:rPr>
          <w:rFonts w:hint="eastAsia" w:ascii="仿宋_GB2312"/>
          <w:bCs/>
          <w:kern w:val="44"/>
          <w:sz w:val="32"/>
          <w:szCs w:val="32"/>
          <w:highlight w:val="none"/>
          <w:u w:val="none"/>
          <w:lang w:val="en-US" w:eastAsia="zh-CN"/>
        </w:rPr>
        <w:t>0</w:t>
      </w:r>
      <w:r>
        <w:rPr>
          <w:rFonts w:hint="eastAsia"/>
          <w:u w:val="none"/>
          <w:lang w:val="en-US" w:eastAsia="zh-CN"/>
        </w:rPr>
        <w:t>万元，</w:t>
      </w:r>
      <w:r>
        <w:rPr>
          <w:rFonts w:hint="eastAsia" w:ascii="仿宋_GB2312" w:eastAsia="仿宋_GB2312"/>
          <w:bCs/>
          <w:kern w:val="44"/>
          <w:sz w:val="32"/>
          <w:szCs w:val="32"/>
          <w:highlight w:val="none"/>
          <w:u w:val="none"/>
        </w:rPr>
        <w:t>增长</w:t>
      </w:r>
      <w:r>
        <w:rPr>
          <w:rFonts w:hint="eastAsia" w:ascii="仿宋_GB2312"/>
          <w:bCs/>
          <w:kern w:val="44"/>
          <w:sz w:val="32"/>
          <w:szCs w:val="32"/>
          <w:highlight w:val="none"/>
          <w:u w:val="none"/>
          <w:lang w:val="en-US" w:eastAsia="zh-CN"/>
        </w:rPr>
        <w:t>0</w:t>
      </w:r>
      <w:r>
        <w:rPr>
          <w:rFonts w:hint="eastAsia" w:ascii="仿宋_GB2312" w:eastAsia="仿宋_GB2312"/>
          <w:bCs/>
          <w:kern w:val="44"/>
          <w:sz w:val="32"/>
          <w:szCs w:val="32"/>
          <w:highlight w:val="none"/>
          <w:u w:val="none"/>
        </w:rPr>
        <w:t>%</w:t>
      </w:r>
      <w:r>
        <w:rPr>
          <w:rFonts w:hint="eastAsia"/>
          <w:u w:val="none"/>
          <w:lang w:val="en-US" w:eastAsia="zh-CN"/>
        </w:rPr>
        <w:t>。其中，</w:t>
      </w:r>
      <w:r>
        <w:rPr>
          <w:rFonts w:hint="eastAsia" w:ascii="仿宋_GB2312"/>
          <w:bCs/>
          <w:kern w:val="44"/>
          <w:sz w:val="32"/>
          <w:szCs w:val="32"/>
          <w:highlight w:val="none"/>
          <w:u w:val="none"/>
          <w:lang w:val="en-US" w:eastAsia="zh-CN"/>
        </w:rPr>
        <w:t>1000</w:t>
      </w:r>
      <w:r>
        <w:rPr>
          <w:rFonts w:hint="eastAsia"/>
          <w:u w:val="none"/>
          <w:lang w:val="en-US" w:eastAsia="zh-CN"/>
        </w:rPr>
        <w:t>万元资金来源全部为当年一般公共预算财政拨款。</w:t>
      </w:r>
    </w:p>
    <w:p w14:paraId="2F91908F">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（7）2023年度项目绩效总目标是：全面落实城镇独生子女年老父母计划生育一次性奖励。</w:t>
      </w:r>
    </w:p>
    <w:p w14:paraId="148E3FD6">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产出指标：预计发放人数4000人，奖励资金补助合规率100%，资金发放完成比例100%，奖励资金补助及时率100%，预算控制率100%，企业退休职工计划生育奖励标准3500元/人。</w:t>
      </w:r>
    </w:p>
    <w:p w14:paraId="7D8B8103">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效益指标：落实计划生育基本国策，退休计生家庭生活条件改善认可度达到90%，促进卫生健康事业持续健康发展。</w:t>
      </w:r>
    </w:p>
    <w:p w14:paraId="1DD28C50">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u w:val="none"/>
          <w:lang w:val="en-US" w:eastAsia="zh-CN"/>
        </w:rPr>
        <w:t>满意度指标：受奖励对象满意度90%</w:t>
      </w:r>
      <w:r>
        <w:rPr>
          <w:rFonts w:hint="eastAsia"/>
          <w:lang w:val="en-US" w:eastAsia="zh-CN"/>
        </w:rPr>
        <w:t>。</w:t>
      </w:r>
    </w:p>
    <w:p w14:paraId="44EC650B">
      <w:pPr>
        <w:keepNext w:val="0"/>
        <w:keepLines w:val="0"/>
        <w:pageBreakBefore w:val="0"/>
        <w:widowControl w:val="0"/>
        <w:numPr>
          <w:ilvl w:val="0"/>
          <w:numId w:val="2"/>
        </w:numPr>
        <w:kinsoku/>
        <w:wordWrap/>
        <w:overflowPunct/>
        <w:topLinePunct w:val="0"/>
        <w:autoSpaceDE/>
        <w:autoSpaceDN/>
        <w:bidi w:val="0"/>
        <w:spacing w:line="480" w:lineRule="exact"/>
        <w:ind w:right="0" w:rightChars="0" w:firstLine="640" w:firstLineChars="200"/>
        <w:jc w:val="both"/>
        <w:textAlignment w:val="auto"/>
        <w:outlineLvl w:val="9"/>
        <w:rPr>
          <w:rFonts w:hint="eastAsia"/>
          <w:lang w:val="en-US" w:eastAsia="zh-CN"/>
        </w:rPr>
      </w:pPr>
      <w:r>
        <w:rPr>
          <w:rFonts w:hint="eastAsia"/>
          <w:lang w:val="en-US" w:eastAsia="zh-CN"/>
        </w:rPr>
        <w:t>公立医院改革补助经费项目。</w:t>
      </w:r>
    </w:p>
    <w:p w14:paraId="510CD531">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（1）项目概况：</w:t>
      </w:r>
      <w:r>
        <w:rPr>
          <w:rFonts w:hint="eastAsia" w:ascii="仿宋_GB2312" w:hAnsi="Microsoft JhengHei Light" w:eastAsia="仿宋_GB2312" w:cs="仿宋_GB2312"/>
          <w:sz w:val="32"/>
          <w:szCs w:val="32"/>
          <w:lang w:eastAsia="zh-CN"/>
        </w:rPr>
        <w:t>2017年和2018年：重点项目建设经费1600万元，公立医院综合改革经费1500万元。2019年3500万元，包括重点项目建设经费1600万元，公立医院综合改革经费1700万元，其中基层医疗机构落实国家基本药物制度补助经费200万元。2020年暂停</w:t>
      </w:r>
      <w:r>
        <w:rPr>
          <w:rFonts w:hint="eastAsia" w:ascii="仿宋_GB2312" w:hAnsi="Microsoft JhengHei Light" w:cs="仿宋_GB2312"/>
          <w:sz w:val="32"/>
          <w:szCs w:val="32"/>
          <w:lang w:eastAsia="zh-CN"/>
        </w:rPr>
        <w:t>。</w:t>
      </w:r>
    </w:p>
    <w:p w14:paraId="468771FE">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（2）项目内容：《财政部 卫生计生委中医药局关于印发&lt;公立医院补助资金管理暂行办法&gt;的通知》（财社〔2015〕256号）明确，中央财政公立医院补助资金现阶段重点支持公立医院综合改革等工作，用于公立医院综合改革方面的补助资金主要支持推进城市和县级公立医院综合改革相关工作</w:t>
      </w:r>
      <w:r>
        <w:rPr>
          <w:rFonts w:hint="eastAsia"/>
          <w:u w:val="none"/>
          <w:lang w:val="en-US" w:eastAsia="zh-CN"/>
        </w:rPr>
        <w:t>。</w:t>
      </w:r>
    </w:p>
    <w:p w14:paraId="33B884F1">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eastAsia="仿宋"/>
          <w:lang w:val="en-US" w:eastAsia="zh-CN"/>
        </w:rPr>
      </w:pPr>
      <w:r>
        <w:rPr>
          <w:rFonts w:hint="eastAsia"/>
          <w:lang w:val="en-US" w:eastAsia="zh-CN"/>
        </w:rPr>
        <w:t>（3）立项依据：</w:t>
      </w:r>
      <w:r>
        <w:rPr>
          <w:rFonts w:hint="eastAsia" w:ascii="仿宋_GB2312" w:hAnsi="Microsoft JhengHei Light" w:eastAsia="仿宋_GB2312" w:cs="仿宋_GB2312"/>
          <w:sz w:val="32"/>
          <w:szCs w:val="32"/>
          <w:lang w:eastAsia="zh-CN"/>
        </w:rPr>
        <w:t>根据《国务院办公厅关于城市公立医院综合改革试点的指导意见》（国办发〔2015〕38号）、《关于巩固破除以药补医成果持续深化公立医院综合改革的意见》（鄂卫生计生发〔2018〕7号）、《关于巩固破除以药补医成果持续深化公立医院综合改革的实施意见》（黄卫生计生发2018〕7号），要全面落实政府投入责任，结合年度预算编制工作，落实符合区域卫生规划的公立医院基本建设和设备购置等投入，落实对专科医院的投入政策</w:t>
      </w:r>
      <w:r>
        <w:rPr>
          <w:rFonts w:hint="eastAsia" w:ascii="仿宋" w:hAnsi="仿宋" w:eastAsia="仿宋" w:cs="仿宋"/>
          <w:color w:val="000000"/>
          <w:sz w:val="32"/>
          <w:szCs w:val="32"/>
          <w:u w:val="none"/>
          <w:shd w:val="clear" w:color="auto" w:fill="FFFFFF"/>
          <w:lang w:eastAsia="zh-CN"/>
        </w:rPr>
        <w:t>。</w:t>
      </w:r>
    </w:p>
    <w:p w14:paraId="124D0DE6">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（4）实施单位：</w:t>
      </w:r>
      <w:r>
        <w:rPr>
          <w:rFonts w:hint="eastAsia"/>
          <w:highlight w:val="none"/>
          <w:u w:val="none"/>
          <w:lang w:val="en-US" w:eastAsia="zh-CN"/>
        </w:rPr>
        <w:t>黄石市卫生健康委员会。</w:t>
      </w:r>
    </w:p>
    <w:p w14:paraId="06460168">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（5）项目期：2024年度。</w:t>
      </w:r>
    </w:p>
    <w:p w14:paraId="0BAF8CC8">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（6）年度预算安排：</w:t>
      </w:r>
      <w:r>
        <w:rPr>
          <w:rFonts w:hint="eastAsia" w:ascii="黑体" w:hAnsi="黑体" w:eastAsia="黑体" w:cs="黑体"/>
          <w:b w:val="0"/>
          <w:bCs w:val="0"/>
          <w:sz w:val="32"/>
          <w:szCs w:val="32"/>
          <w:u w:val="none"/>
          <w:lang w:val="en-US" w:eastAsia="zh-CN"/>
        </w:rPr>
        <w:t>2024</w:t>
      </w:r>
      <w:r>
        <w:rPr>
          <w:rFonts w:hint="eastAsia"/>
          <w:lang w:val="en-US" w:eastAsia="zh-CN"/>
        </w:rPr>
        <w:t>年预算安排3</w:t>
      </w:r>
      <w:r>
        <w:rPr>
          <w:rFonts w:hint="eastAsia" w:ascii="仿宋_GB2312"/>
          <w:bCs/>
          <w:kern w:val="44"/>
          <w:sz w:val="32"/>
          <w:szCs w:val="32"/>
          <w:highlight w:val="none"/>
          <w:u w:val="single"/>
          <w:lang w:val="en-US" w:eastAsia="zh-CN"/>
        </w:rPr>
        <w:t>200</w:t>
      </w:r>
      <w:r>
        <w:rPr>
          <w:rFonts w:hint="eastAsia"/>
          <w:lang w:val="en-US" w:eastAsia="zh-CN"/>
        </w:rPr>
        <w:t>万元，</w:t>
      </w:r>
      <w:r>
        <w:rPr>
          <w:rFonts w:hint="eastAsia"/>
          <w:u w:val="none"/>
          <w:lang w:val="en-US" w:eastAsia="zh-CN"/>
        </w:rPr>
        <w:t>比上年增长3200万元，</w:t>
      </w:r>
      <w:r>
        <w:rPr>
          <w:rFonts w:hint="eastAsia" w:ascii="仿宋_GB2312" w:eastAsia="仿宋_GB2312"/>
          <w:bCs/>
          <w:kern w:val="44"/>
          <w:sz w:val="32"/>
          <w:szCs w:val="32"/>
          <w:highlight w:val="none"/>
          <w:u w:val="none"/>
        </w:rPr>
        <w:t>增长</w:t>
      </w:r>
      <w:r>
        <w:rPr>
          <w:rFonts w:hint="eastAsia" w:ascii="仿宋_GB2312"/>
          <w:bCs/>
          <w:kern w:val="44"/>
          <w:sz w:val="32"/>
          <w:szCs w:val="32"/>
          <w:highlight w:val="none"/>
          <w:u w:val="none"/>
          <w:lang w:val="en-US" w:eastAsia="zh-CN"/>
        </w:rPr>
        <w:t>100</w:t>
      </w:r>
      <w:r>
        <w:rPr>
          <w:rFonts w:hint="eastAsia" w:ascii="仿宋_GB2312" w:eastAsia="仿宋_GB2312"/>
          <w:bCs/>
          <w:kern w:val="44"/>
          <w:sz w:val="32"/>
          <w:szCs w:val="32"/>
          <w:highlight w:val="none"/>
          <w:u w:val="none"/>
        </w:rPr>
        <w:t>%</w:t>
      </w:r>
      <w:r>
        <w:rPr>
          <w:rFonts w:hint="eastAsia"/>
          <w:u w:val="none"/>
          <w:lang w:val="en-US" w:eastAsia="zh-CN"/>
        </w:rPr>
        <w:t>。其中，3200万元资金来源全部为当年一般公共预算财政拨款</w:t>
      </w:r>
      <w:r>
        <w:rPr>
          <w:rFonts w:hint="eastAsia"/>
          <w:lang w:val="en-US" w:eastAsia="zh-CN"/>
        </w:rPr>
        <w:t>。</w:t>
      </w:r>
    </w:p>
    <w:p w14:paraId="678ABD9C">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（7）</w:t>
      </w:r>
      <w:r>
        <w:rPr>
          <w:rFonts w:hint="eastAsia" w:ascii="黑体" w:hAnsi="黑体" w:eastAsia="黑体" w:cs="黑体"/>
          <w:b w:val="0"/>
          <w:bCs w:val="0"/>
          <w:sz w:val="32"/>
          <w:szCs w:val="32"/>
          <w:u w:val="none"/>
          <w:lang w:val="en-US" w:eastAsia="zh-CN"/>
        </w:rPr>
        <w:t>2024</w:t>
      </w:r>
      <w:r>
        <w:rPr>
          <w:rFonts w:hint="eastAsia"/>
          <w:lang w:val="en-US" w:eastAsia="zh-CN"/>
        </w:rPr>
        <w:t>年度项目绩效总目标是：深化公立医院综合改革，建立健全现代医院管理制度，协调推进医疗价格、人事薪酬、药品流通，医保支付，提高医疗卫生服务质量。</w:t>
      </w:r>
    </w:p>
    <w:p w14:paraId="772869D1">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产出指标：医疗服务（不含药品、耗材、检查、化验收入）占公立医院收入的比例较上年上升，公立医院资产负债率较上年降低，住院次均费用增幅较上年降低，120急救中心应急管理较上年提高，三级公立医院出院患者手术占比较上年提高，公立医院平均住院日较上年降低，预算完成及时率100%。</w:t>
      </w:r>
    </w:p>
    <w:p w14:paraId="6FE400DD">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效益指标：三级公立医院万元能耗支出较上年降低，实现收支平衡的公立医院数占公立医院总数的比例较上年提高，基层医疗卫生机构诊疗人次占医疗卫生机构诊疗总人次数的比例较上年提高，公立医院每急诊人次平均收费水平增长比例较上年降低，公立医院出院者平均医药费用增长比例较上年降低，三级公立医院门诊人次数与出院人次数比较上年降低。</w:t>
      </w:r>
    </w:p>
    <w:p w14:paraId="19870BF0">
      <w:pPr>
        <w:keepNext w:val="0"/>
        <w:keepLines w:val="0"/>
        <w:pageBreakBefore w:val="0"/>
        <w:widowControl w:val="0"/>
        <w:numPr>
          <w:ilvl w:val="0"/>
          <w:numId w:val="0"/>
        </w:numPr>
        <w:kinsoku/>
        <w:wordWrap/>
        <w:overflowPunct/>
        <w:topLinePunct w:val="0"/>
        <w:autoSpaceDE/>
        <w:autoSpaceDN/>
        <w:bidi w:val="0"/>
        <w:spacing w:line="480" w:lineRule="exact"/>
        <w:ind w:right="0" w:rightChars="0" w:firstLine="640" w:firstLineChars="200"/>
        <w:jc w:val="both"/>
        <w:textAlignment w:val="auto"/>
        <w:outlineLvl w:val="9"/>
        <w:rPr>
          <w:rFonts w:hint="eastAsia" w:ascii="仿宋_GB2312"/>
          <w:b/>
          <w:bCs/>
          <w:color w:val="000000"/>
          <w:sz w:val="32"/>
          <w:szCs w:val="32"/>
          <w:highlight w:val="none"/>
          <w:lang w:val="en-US" w:eastAsia="zh-CN"/>
        </w:rPr>
      </w:pPr>
      <w:r>
        <w:rPr>
          <w:rFonts w:hint="eastAsia"/>
          <w:lang w:val="en-US" w:eastAsia="zh-CN"/>
        </w:rPr>
        <w:t>满意度指标：公立医院职工满意度≥75%，公立医院门诊患者满意度≥83%，公立医院住院患者满意度≥90%。</w:t>
      </w:r>
    </w:p>
    <w:p w14:paraId="4637342E">
      <w:pPr>
        <w:keepNext w:val="0"/>
        <w:keepLines w:val="0"/>
        <w:pageBreakBefore w:val="0"/>
        <w:widowControl w:val="0"/>
        <w:numPr>
          <w:ilvl w:val="0"/>
          <w:numId w:val="2"/>
        </w:numPr>
        <w:kinsoku/>
        <w:wordWrap/>
        <w:overflowPunct/>
        <w:topLinePunct w:val="0"/>
        <w:autoSpaceDE/>
        <w:autoSpaceDN/>
        <w:bidi w:val="0"/>
        <w:spacing w:line="480" w:lineRule="exact"/>
        <w:ind w:right="0" w:rightChars="0" w:firstLine="640" w:firstLineChars="200"/>
        <w:jc w:val="both"/>
        <w:textAlignment w:val="auto"/>
        <w:outlineLvl w:val="9"/>
        <w:rPr>
          <w:rFonts w:hint="eastAsia"/>
          <w:lang w:val="en-US" w:eastAsia="zh-CN"/>
        </w:rPr>
      </w:pPr>
      <w:r>
        <w:rPr>
          <w:rFonts w:hint="eastAsia"/>
          <w:lang w:val="en-US" w:eastAsia="zh-CN"/>
        </w:rPr>
        <w:t>基本公共卫生服务经费项目。</w:t>
      </w:r>
    </w:p>
    <w:p w14:paraId="15A17333">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（1）项目概况：</w:t>
      </w:r>
      <w:r>
        <w:rPr>
          <w:rFonts w:hint="eastAsia" w:ascii="仿宋" w:hAnsi="仿宋" w:eastAsia="仿宋"/>
          <w:sz w:val="32"/>
          <w:szCs w:val="32"/>
          <w:u w:val="none"/>
        </w:rPr>
        <w:t>通过实施国家基本公共卫生服务项目和重大公共卫生服务项目，明确政府责任，对城乡居民健康问题实施干预措施，减少主要健康危险因素，有效预防和控制主要传染病及慢性病，提高公共卫生服务和突发公共卫生事件应急处置能力，使城乡居民逐步享有均等化的基本公共卫生服务。实现基本公共卫生服务均等化，目标是保障城乡居民获得最基本、最有效的基本公共卫生服务，缩小城乡居民基本公共卫生服务的差距，使大家都能享受到基本公共卫生服务，最终使老百姓不得病、少得病、晚得病、不得大病。</w:t>
      </w:r>
    </w:p>
    <w:p w14:paraId="1622CC44">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ascii="仿宋" w:hAnsi="仿宋" w:eastAsia="仿宋"/>
          <w:sz w:val="32"/>
          <w:szCs w:val="32"/>
          <w:u w:val="none"/>
        </w:rPr>
      </w:pPr>
      <w:r>
        <w:rPr>
          <w:rFonts w:hint="eastAsia" w:ascii="仿宋" w:hAnsi="仿宋" w:eastAsia="仿宋"/>
          <w:sz w:val="32"/>
          <w:szCs w:val="32"/>
          <w:u w:val="none"/>
          <w:lang w:val="en-US" w:eastAsia="zh-CN"/>
        </w:rPr>
        <w:t>（2）项目内容：</w:t>
      </w:r>
      <w:r>
        <w:rPr>
          <w:rFonts w:hint="eastAsia" w:ascii="仿宋" w:hAnsi="仿宋" w:eastAsia="仿宋"/>
          <w:sz w:val="32"/>
          <w:szCs w:val="32"/>
          <w:u w:val="none"/>
          <w:lang w:eastAsia="zh-CN"/>
        </w:rPr>
        <w:t>《</w:t>
      </w:r>
      <w:r>
        <w:rPr>
          <w:rFonts w:hint="eastAsia" w:ascii="仿宋" w:hAnsi="仿宋" w:eastAsia="仿宋"/>
          <w:sz w:val="32"/>
          <w:szCs w:val="32"/>
          <w:u w:val="none"/>
        </w:rPr>
        <w:t>省财政厅关于下达2019年中央财政基本公共卫生服务资金的通知》规定：2019年各级财政对基本基本公共卫生服务的补助提高到每人每年不低于69元，按照常住人口人均每年增加5元；国家卫健委《关于做好2021年基本公共卫生服务项目工作的通知》：2021年人均基本公卫服务经费补助标准79元；国家卫健委《关于做好2022年基本公共卫生服务项目的通知》：2023年基本公共卫生服务经费人均财政补助标准为89元。按照常住人口人均每年新增5元的惯例，预计2024年基本公共卫生服务经费人均财政补助标准为94元。城区人口91.29万（含新港园区），市级财政承担10%，本级负担8</w:t>
      </w:r>
      <w:r>
        <w:rPr>
          <w:rFonts w:hint="eastAsia" w:ascii="仿宋" w:hAnsi="仿宋" w:eastAsia="仿宋"/>
          <w:sz w:val="32"/>
          <w:szCs w:val="32"/>
          <w:u w:val="none"/>
          <w:lang w:val="en-US" w:eastAsia="zh-CN"/>
        </w:rPr>
        <w:t>51</w:t>
      </w:r>
      <w:r>
        <w:rPr>
          <w:rFonts w:hint="eastAsia" w:ascii="仿宋" w:hAnsi="仿宋" w:eastAsia="仿宋"/>
          <w:sz w:val="32"/>
          <w:szCs w:val="32"/>
          <w:u w:val="none"/>
        </w:rPr>
        <w:t>万元。</w:t>
      </w:r>
    </w:p>
    <w:p w14:paraId="3B7A422B">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（3）立项依据：</w:t>
      </w:r>
      <w:r>
        <w:rPr>
          <w:rFonts w:hint="eastAsia" w:ascii="仿宋" w:hAnsi="仿宋" w:eastAsia="仿宋"/>
          <w:sz w:val="32"/>
          <w:szCs w:val="32"/>
          <w:u w:val="none"/>
        </w:rPr>
        <w:t>《中共中央国务院关于深化医药卫生体制改革的意见》（中发[2009]6号）；《国务院关于印发“十二五”期间深化医药卫生体制改革规划暨实施方案的通知》（国发[2012]11号）。《关于印发医疗卫生领域中央财政事权和支出责任划分改革方案的通知》（国发办[2018]67号）、《关于印发湖北省基本公共服务领域省与市县共同财政事权和支出责任划分改革方案的通知》，《卫生部财政部人口计生委关于促进基本公共卫生服务逐步均等化的意见》（卫妇社发〔2009〕70号）：“基本公共卫生服务项目主要通过城市社区卫生服务中心（站）、乡镇卫生院、村卫生室等城乡基层医疗卫生机构免费为全体居民提供。”</w:t>
      </w:r>
    </w:p>
    <w:p w14:paraId="45555186">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（4）实施单位：黄石市卫生健康委员会。</w:t>
      </w:r>
    </w:p>
    <w:p w14:paraId="7A754288">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（5）项目期：2023年度。</w:t>
      </w:r>
    </w:p>
    <w:p w14:paraId="23FF6251">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（6）年度预算安排：2023年预算安排</w:t>
      </w:r>
      <w:r>
        <w:rPr>
          <w:rFonts w:hint="eastAsia" w:ascii="仿宋_GB2312"/>
          <w:bCs/>
          <w:kern w:val="44"/>
          <w:sz w:val="32"/>
          <w:szCs w:val="32"/>
          <w:highlight w:val="none"/>
          <w:u w:val="none"/>
          <w:lang w:val="en-US" w:eastAsia="zh-CN"/>
        </w:rPr>
        <w:t>100</w:t>
      </w:r>
      <w:r>
        <w:rPr>
          <w:rFonts w:hint="eastAsia"/>
          <w:u w:val="none"/>
          <w:lang w:val="en-US" w:eastAsia="zh-CN"/>
        </w:rPr>
        <w:t>万元，比上年增长0万元，</w:t>
      </w:r>
      <w:r>
        <w:rPr>
          <w:rFonts w:hint="eastAsia" w:ascii="仿宋_GB2312" w:eastAsia="仿宋_GB2312"/>
          <w:bCs/>
          <w:kern w:val="44"/>
          <w:sz w:val="32"/>
          <w:szCs w:val="32"/>
          <w:highlight w:val="none"/>
          <w:u w:val="none"/>
        </w:rPr>
        <w:t>增长</w:t>
      </w:r>
      <w:r>
        <w:rPr>
          <w:rFonts w:hint="eastAsia" w:ascii="仿宋_GB2312"/>
          <w:bCs/>
          <w:kern w:val="44"/>
          <w:sz w:val="32"/>
          <w:szCs w:val="32"/>
          <w:highlight w:val="none"/>
          <w:u w:val="none"/>
          <w:lang w:val="en-US" w:eastAsia="zh-CN"/>
        </w:rPr>
        <w:t>0</w:t>
      </w:r>
      <w:r>
        <w:rPr>
          <w:rFonts w:hint="eastAsia" w:ascii="仿宋_GB2312" w:eastAsia="仿宋_GB2312"/>
          <w:bCs/>
          <w:kern w:val="44"/>
          <w:sz w:val="32"/>
          <w:szCs w:val="32"/>
          <w:highlight w:val="none"/>
          <w:u w:val="none"/>
        </w:rPr>
        <w:t>%</w:t>
      </w:r>
      <w:r>
        <w:rPr>
          <w:rFonts w:hint="eastAsia"/>
          <w:u w:val="none"/>
          <w:lang w:val="en-US" w:eastAsia="zh-CN"/>
        </w:rPr>
        <w:t>。其中，100万元资金来源全部为当年一般公共预算财政拨款。</w:t>
      </w:r>
    </w:p>
    <w:p w14:paraId="179E13B6">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（7）2023年度项目绩效总目标是：1.居民规范化电子健康档案覆盖率≥62%。2.适龄儿童国家免疫规划疫苗接种率≥90%。3.7岁以下儿童健康管理率≥85%           4.0-6岁儿童眼保健和视力检查覆盖率≥90%。5.孕产妇系统管理率≥90%。6.65岁及以上老年人城乡社区规范健康管理服务率≥62% 。7.高血压患者基层规范管理服务率≥62% 。8.2型糖尿病患者基层规范管理服务率≥62%。9.社区在册居家严重精神障碍患者健康管理率≥80%。10.肺结核患者管理率≥90%。11.老年人中医药健康管理率≥70%。12.儿童中医药健康管理率≥77%。13.传染病和突发公共卫生事件报告率≥95%。14.卫生监督协管各专业每年巡查（访）2次完成率≥90%。</w:t>
      </w:r>
    </w:p>
    <w:p w14:paraId="4DAD3B14">
      <w:pPr>
        <w:ind w:firstLine="640" w:firstLineChars="200"/>
        <w:rPr>
          <w:rFonts w:hint="eastAsia" w:ascii="仿宋" w:hAnsi="仿宋" w:eastAsia="仿宋"/>
          <w:sz w:val="32"/>
          <w:szCs w:val="32"/>
          <w:u w:val="none"/>
        </w:rPr>
      </w:pPr>
      <w:r>
        <w:rPr>
          <w:rFonts w:hint="eastAsia"/>
          <w:u w:val="none"/>
          <w:lang w:val="en-US" w:eastAsia="zh-CN"/>
        </w:rPr>
        <w:t>产出指标：服务人口91.29万，</w:t>
      </w:r>
      <w:r>
        <w:rPr>
          <w:rFonts w:hint="eastAsia" w:ascii="仿宋" w:hAnsi="仿宋" w:eastAsia="仿宋"/>
          <w:sz w:val="32"/>
          <w:szCs w:val="32"/>
          <w:u w:val="none"/>
        </w:rPr>
        <w:t>居民规范化电子健康档案覆盖率达6</w:t>
      </w:r>
      <w:r>
        <w:rPr>
          <w:rFonts w:hint="eastAsia" w:ascii="仿宋" w:hAnsi="仿宋" w:eastAsia="仿宋"/>
          <w:sz w:val="32"/>
          <w:szCs w:val="32"/>
          <w:u w:val="none"/>
          <w:lang w:val="en-US" w:eastAsia="zh-CN"/>
        </w:rPr>
        <w:t>2</w:t>
      </w:r>
      <w:r>
        <w:rPr>
          <w:rFonts w:hint="eastAsia" w:ascii="仿宋" w:hAnsi="仿宋" w:eastAsia="仿宋"/>
          <w:sz w:val="32"/>
          <w:szCs w:val="32"/>
          <w:u w:val="none"/>
        </w:rPr>
        <w:t>%以上</w:t>
      </w:r>
      <w:r>
        <w:rPr>
          <w:rFonts w:hint="eastAsia" w:ascii="仿宋" w:hAnsi="仿宋" w:eastAsia="仿宋"/>
          <w:sz w:val="32"/>
          <w:szCs w:val="32"/>
          <w:u w:val="none"/>
          <w:lang w:eastAsia="zh-CN"/>
        </w:rPr>
        <w:t>，</w:t>
      </w:r>
      <w:r>
        <w:rPr>
          <w:rFonts w:hint="eastAsia" w:ascii="仿宋" w:hAnsi="仿宋" w:eastAsia="仿宋"/>
          <w:sz w:val="32"/>
          <w:szCs w:val="32"/>
          <w:u w:val="none"/>
        </w:rPr>
        <w:t>适龄儿童国家免疫规划疫苗接种率达90%以上</w:t>
      </w:r>
      <w:r>
        <w:rPr>
          <w:rFonts w:hint="eastAsia" w:ascii="仿宋" w:hAnsi="仿宋" w:eastAsia="仿宋"/>
          <w:sz w:val="32"/>
          <w:szCs w:val="32"/>
          <w:u w:val="none"/>
          <w:lang w:eastAsia="zh-CN"/>
        </w:rPr>
        <w:t>，</w:t>
      </w:r>
      <w:r>
        <w:rPr>
          <w:rFonts w:hint="eastAsia" w:ascii="仿宋" w:hAnsi="仿宋" w:eastAsia="仿宋"/>
          <w:sz w:val="32"/>
          <w:szCs w:val="32"/>
          <w:u w:val="none"/>
        </w:rPr>
        <w:t>7岁以下儿童健康管理率达85%以上</w:t>
      </w:r>
      <w:r>
        <w:rPr>
          <w:rFonts w:hint="eastAsia" w:ascii="仿宋" w:hAnsi="仿宋" w:eastAsia="仿宋"/>
          <w:sz w:val="32"/>
          <w:szCs w:val="32"/>
          <w:u w:val="none"/>
          <w:lang w:eastAsia="zh-CN"/>
        </w:rPr>
        <w:t>，</w:t>
      </w:r>
      <w:r>
        <w:rPr>
          <w:rFonts w:hint="eastAsia" w:ascii="仿宋" w:hAnsi="仿宋" w:eastAsia="仿宋"/>
          <w:sz w:val="32"/>
          <w:szCs w:val="32"/>
          <w:u w:val="none"/>
        </w:rPr>
        <w:t>0-6岁儿童眼保健和视力检查覆盖率达90%以上</w:t>
      </w:r>
      <w:r>
        <w:rPr>
          <w:rFonts w:hint="eastAsia" w:ascii="仿宋" w:hAnsi="仿宋" w:eastAsia="仿宋"/>
          <w:sz w:val="32"/>
          <w:szCs w:val="32"/>
          <w:u w:val="none"/>
          <w:lang w:eastAsia="zh-CN"/>
        </w:rPr>
        <w:t>，</w:t>
      </w:r>
      <w:r>
        <w:rPr>
          <w:rFonts w:hint="eastAsia" w:ascii="仿宋" w:hAnsi="仿宋" w:eastAsia="仿宋"/>
          <w:sz w:val="32"/>
          <w:szCs w:val="32"/>
          <w:u w:val="none"/>
        </w:rPr>
        <w:t>孕产妇系统管理率达90%以上</w:t>
      </w:r>
      <w:r>
        <w:rPr>
          <w:rFonts w:hint="eastAsia" w:ascii="仿宋" w:hAnsi="仿宋" w:eastAsia="仿宋"/>
          <w:sz w:val="32"/>
          <w:szCs w:val="32"/>
          <w:u w:val="none"/>
          <w:lang w:eastAsia="zh-CN"/>
        </w:rPr>
        <w:t>，</w:t>
      </w:r>
      <w:r>
        <w:rPr>
          <w:rFonts w:hint="eastAsia" w:ascii="仿宋" w:hAnsi="仿宋" w:eastAsia="仿宋"/>
          <w:sz w:val="32"/>
          <w:szCs w:val="32"/>
          <w:u w:val="none"/>
        </w:rPr>
        <w:t>65岁及以上老年人城乡社区规范健康管理服务率达6</w:t>
      </w:r>
      <w:r>
        <w:rPr>
          <w:rFonts w:hint="eastAsia" w:ascii="仿宋" w:hAnsi="仿宋" w:eastAsia="仿宋"/>
          <w:sz w:val="32"/>
          <w:szCs w:val="32"/>
          <w:u w:val="none"/>
          <w:lang w:val="en-US" w:eastAsia="zh-CN"/>
        </w:rPr>
        <w:t>2</w:t>
      </w:r>
      <w:r>
        <w:rPr>
          <w:rFonts w:hint="eastAsia" w:ascii="仿宋" w:hAnsi="仿宋" w:eastAsia="仿宋"/>
          <w:sz w:val="32"/>
          <w:szCs w:val="32"/>
          <w:u w:val="none"/>
        </w:rPr>
        <w:t>%以上</w:t>
      </w:r>
      <w:r>
        <w:rPr>
          <w:rFonts w:hint="eastAsia" w:ascii="仿宋" w:hAnsi="仿宋" w:eastAsia="仿宋"/>
          <w:sz w:val="32"/>
          <w:szCs w:val="32"/>
          <w:u w:val="none"/>
          <w:lang w:eastAsia="zh-CN"/>
        </w:rPr>
        <w:t>，</w:t>
      </w:r>
      <w:r>
        <w:rPr>
          <w:rFonts w:hint="eastAsia" w:ascii="仿宋" w:hAnsi="仿宋" w:eastAsia="仿宋"/>
          <w:sz w:val="32"/>
          <w:szCs w:val="32"/>
          <w:u w:val="none"/>
        </w:rPr>
        <w:t>高血压患者基层规范服务率达6</w:t>
      </w:r>
      <w:r>
        <w:rPr>
          <w:rFonts w:hint="eastAsia" w:ascii="仿宋" w:hAnsi="仿宋" w:eastAsia="仿宋"/>
          <w:sz w:val="32"/>
          <w:szCs w:val="32"/>
          <w:u w:val="none"/>
          <w:lang w:val="en-US" w:eastAsia="zh-CN"/>
        </w:rPr>
        <w:t>2</w:t>
      </w:r>
      <w:r>
        <w:rPr>
          <w:rFonts w:hint="eastAsia" w:ascii="仿宋" w:hAnsi="仿宋" w:eastAsia="仿宋"/>
          <w:sz w:val="32"/>
          <w:szCs w:val="32"/>
          <w:u w:val="none"/>
        </w:rPr>
        <w:t>%以上</w:t>
      </w:r>
      <w:r>
        <w:rPr>
          <w:rFonts w:hint="eastAsia" w:ascii="仿宋" w:hAnsi="仿宋" w:eastAsia="仿宋"/>
          <w:sz w:val="32"/>
          <w:szCs w:val="32"/>
          <w:u w:val="none"/>
          <w:lang w:eastAsia="zh-CN"/>
        </w:rPr>
        <w:t>，</w:t>
      </w:r>
      <w:r>
        <w:rPr>
          <w:rFonts w:hint="eastAsia" w:ascii="仿宋" w:hAnsi="仿宋" w:eastAsia="仿宋"/>
          <w:sz w:val="32"/>
          <w:szCs w:val="32"/>
          <w:u w:val="none"/>
        </w:rPr>
        <w:t>2型糖尿病患者基层规范管理服务率达6</w:t>
      </w:r>
      <w:r>
        <w:rPr>
          <w:rFonts w:hint="eastAsia" w:ascii="仿宋" w:hAnsi="仿宋" w:eastAsia="仿宋"/>
          <w:sz w:val="32"/>
          <w:szCs w:val="32"/>
          <w:u w:val="none"/>
          <w:lang w:val="en-US" w:eastAsia="zh-CN"/>
        </w:rPr>
        <w:t>2</w:t>
      </w:r>
      <w:r>
        <w:rPr>
          <w:rFonts w:hint="eastAsia" w:ascii="仿宋" w:hAnsi="仿宋" w:eastAsia="仿宋"/>
          <w:sz w:val="32"/>
          <w:szCs w:val="32"/>
          <w:u w:val="none"/>
        </w:rPr>
        <w:t>%以上</w:t>
      </w:r>
      <w:r>
        <w:rPr>
          <w:rFonts w:hint="eastAsia" w:ascii="仿宋" w:hAnsi="仿宋" w:eastAsia="仿宋"/>
          <w:sz w:val="32"/>
          <w:szCs w:val="32"/>
          <w:u w:val="none"/>
          <w:lang w:eastAsia="zh-CN"/>
        </w:rPr>
        <w:t>，</w:t>
      </w:r>
      <w:r>
        <w:rPr>
          <w:rFonts w:hint="eastAsia" w:ascii="仿宋" w:hAnsi="仿宋" w:eastAsia="仿宋"/>
          <w:sz w:val="32"/>
          <w:szCs w:val="32"/>
          <w:u w:val="none"/>
        </w:rPr>
        <w:t>社区在册居家严重精神障碍患者健康管理率达</w:t>
      </w:r>
      <w:r>
        <w:rPr>
          <w:rFonts w:hint="eastAsia" w:ascii="仿宋" w:hAnsi="仿宋" w:eastAsia="仿宋"/>
          <w:sz w:val="32"/>
          <w:szCs w:val="32"/>
          <w:u w:val="none"/>
          <w:lang w:val="en-US" w:eastAsia="zh-CN"/>
        </w:rPr>
        <w:t>9</w:t>
      </w:r>
      <w:r>
        <w:rPr>
          <w:rFonts w:hint="eastAsia" w:ascii="仿宋" w:hAnsi="仿宋" w:eastAsia="仿宋"/>
          <w:sz w:val="32"/>
          <w:szCs w:val="32"/>
          <w:u w:val="none"/>
        </w:rPr>
        <w:t>0%以上</w:t>
      </w:r>
      <w:r>
        <w:rPr>
          <w:rFonts w:hint="eastAsia" w:ascii="仿宋" w:hAnsi="仿宋" w:eastAsia="仿宋"/>
          <w:sz w:val="32"/>
          <w:szCs w:val="32"/>
          <w:u w:val="none"/>
          <w:lang w:eastAsia="zh-CN"/>
        </w:rPr>
        <w:t>，</w:t>
      </w:r>
      <w:r>
        <w:rPr>
          <w:rFonts w:hint="eastAsia" w:ascii="仿宋" w:hAnsi="仿宋" w:eastAsia="仿宋"/>
          <w:sz w:val="32"/>
          <w:szCs w:val="32"/>
          <w:u w:val="none"/>
        </w:rPr>
        <w:t>肺结核患者管理率达90%以上</w:t>
      </w:r>
      <w:r>
        <w:rPr>
          <w:rFonts w:hint="eastAsia" w:ascii="仿宋" w:hAnsi="仿宋" w:eastAsia="仿宋"/>
          <w:sz w:val="32"/>
          <w:szCs w:val="32"/>
          <w:u w:val="none"/>
          <w:lang w:eastAsia="zh-CN"/>
        </w:rPr>
        <w:t>，</w:t>
      </w:r>
      <w:r>
        <w:rPr>
          <w:rFonts w:hint="eastAsia" w:ascii="仿宋" w:hAnsi="仿宋" w:eastAsia="仿宋"/>
          <w:sz w:val="32"/>
          <w:szCs w:val="32"/>
          <w:u w:val="none"/>
        </w:rPr>
        <w:t>老年人中医药健康管理率</w:t>
      </w:r>
      <w:r>
        <w:rPr>
          <w:rFonts w:hint="eastAsia" w:ascii="仿宋" w:hAnsi="仿宋" w:eastAsia="仿宋"/>
          <w:sz w:val="32"/>
          <w:szCs w:val="32"/>
          <w:u w:val="none"/>
          <w:lang w:val="en-US" w:eastAsia="zh-CN"/>
        </w:rPr>
        <w:t>70%以上，</w:t>
      </w:r>
      <w:r>
        <w:rPr>
          <w:rFonts w:hint="eastAsia" w:ascii="仿宋" w:hAnsi="仿宋" w:eastAsia="仿宋"/>
          <w:sz w:val="32"/>
          <w:szCs w:val="32"/>
          <w:u w:val="none"/>
        </w:rPr>
        <w:t>儿童中医药健康管理率达</w:t>
      </w:r>
      <w:r>
        <w:rPr>
          <w:rFonts w:hint="eastAsia" w:ascii="仿宋" w:hAnsi="仿宋" w:eastAsia="仿宋"/>
          <w:sz w:val="32"/>
          <w:szCs w:val="32"/>
          <w:u w:val="none"/>
          <w:lang w:val="en-US" w:eastAsia="zh-CN"/>
        </w:rPr>
        <w:t>77</w:t>
      </w:r>
      <w:r>
        <w:rPr>
          <w:rFonts w:hint="eastAsia" w:ascii="仿宋" w:hAnsi="仿宋" w:eastAsia="仿宋"/>
          <w:sz w:val="32"/>
          <w:szCs w:val="32"/>
          <w:u w:val="none"/>
        </w:rPr>
        <w:t>%以上</w:t>
      </w:r>
      <w:r>
        <w:rPr>
          <w:rFonts w:hint="eastAsia" w:ascii="仿宋" w:hAnsi="仿宋" w:eastAsia="仿宋"/>
          <w:sz w:val="32"/>
          <w:szCs w:val="32"/>
          <w:u w:val="none"/>
          <w:lang w:eastAsia="zh-CN"/>
        </w:rPr>
        <w:t>，</w:t>
      </w:r>
      <w:r>
        <w:rPr>
          <w:rFonts w:hint="eastAsia" w:ascii="仿宋" w:hAnsi="仿宋" w:eastAsia="仿宋"/>
          <w:sz w:val="32"/>
          <w:szCs w:val="32"/>
          <w:u w:val="none"/>
        </w:rPr>
        <w:t>传染病和突发公共卫生事件报告率达95%以上</w:t>
      </w:r>
      <w:r>
        <w:rPr>
          <w:rFonts w:hint="eastAsia" w:ascii="仿宋" w:hAnsi="仿宋" w:eastAsia="仿宋"/>
          <w:sz w:val="32"/>
          <w:szCs w:val="32"/>
          <w:u w:val="none"/>
          <w:lang w:eastAsia="zh-CN"/>
        </w:rPr>
        <w:t>等</w:t>
      </w:r>
      <w:r>
        <w:rPr>
          <w:rFonts w:hint="eastAsia" w:ascii="仿宋" w:hAnsi="仿宋" w:eastAsia="仿宋"/>
          <w:sz w:val="32"/>
          <w:szCs w:val="32"/>
          <w:u w:val="none"/>
        </w:rPr>
        <w:t xml:space="preserve">。                               </w:t>
      </w:r>
    </w:p>
    <w:p w14:paraId="00EFDE87">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效益指标：城乡居民公共卫生差距不断缩小，居民健康素养水平不断提高，基本公共卫生服务水平不断提高。</w:t>
      </w:r>
    </w:p>
    <w:p w14:paraId="32287AF1">
      <w:pPr>
        <w:keepNext w:val="0"/>
        <w:keepLines w:val="0"/>
        <w:pageBreakBefore w:val="0"/>
        <w:widowControl w:val="0"/>
        <w:numPr>
          <w:ilvl w:val="0"/>
          <w:numId w:val="0"/>
        </w:numPr>
        <w:kinsoku/>
        <w:wordWrap/>
        <w:overflowPunct/>
        <w:topLinePunct w:val="0"/>
        <w:autoSpaceDE/>
        <w:autoSpaceDN/>
        <w:bidi w:val="0"/>
        <w:spacing w:line="480" w:lineRule="exact"/>
        <w:ind w:right="0" w:rightChars="0" w:firstLine="640" w:firstLineChars="200"/>
        <w:jc w:val="both"/>
        <w:textAlignment w:val="auto"/>
        <w:outlineLvl w:val="9"/>
        <w:rPr>
          <w:rFonts w:hint="eastAsia" w:ascii="仿宋_GB2312"/>
          <w:b/>
          <w:bCs/>
          <w:color w:val="000000"/>
          <w:sz w:val="32"/>
          <w:szCs w:val="32"/>
          <w:highlight w:val="none"/>
          <w:lang w:val="en-US" w:eastAsia="zh-CN"/>
        </w:rPr>
      </w:pPr>
      <w:r>
        <w:rPr>
          <w:rFonts w:hint="eastAsia"/>
          <w:u w:val="none"/>
          <w:lang w:val="en-US" w:eastAsia="zh-CN"/>
        </w:rPr>
        <w:t>满意度指标：服务对象满意度≥90%</w:t>
      </w:r>
      <w:r>
        <w:rPr>
          <w:rFonts w:hint="eastAsia"/>
          <w:lang w:val="en-US" w:eastAsia="zh-CN"/>
        </w:rPr>
        <w:t>。</w:t>
      </w:r>
    </w:p>
    <w:p w14:paraId="1A933523">
      <w:pPr>
        <w:keepNext w:val="0"/>
        <w:keepLines w:val="0"/>
        <w:pageBreakBefore w:val="0"/>
        <w:widowControl w:val="0"/>
        <w:numPr>
          <w:ilvl w:val="0"/>
          <w:numId w:val="2"/>
        </w:numPr>
        <w:kinsoku/>
        <w:wordWrap/>
        <w:overflowPunct/>
        <w:topLinePunct w:val="0"/>
        <w:autoSpaceDE/>
        <w:autoSpaceDN/>
        <w:bidi w:val="0"/>
        <w:spacing w:line="480" w:lineRule="exact"/>
        <w:ind w:right="0" w:rightChars="0" w:firstLine="640" w:firstLineChars="200"/>
        <w:jc w:val="both"/>
        <w:textAlignment w:val="auto"/>
        <w:outlineLvl w:val="9"/>
        <w:rPr>
          <w:rFonts w:hint="eastAsia"/>
          <w:lang w:val="en-US" w:eastAsia="zh-CN"/>
        </w:rPr>
      </w:pPr>
      <w:r>
        <w:rPr>
          <w:rFonts w:hint="eastAsia"/>
          <w:lang w:val="en-US" w:eastAsia="zh-CN"/>
        </w:rPr>
        <w:t>人口健康发展补助经费项目。</w:t>
      </w:r>
    </w:p>
    <w:p w14:paraId="658504FE">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（1）项目概况：由</w:t>
      </w:r>
      <w:r>
        <w:rPr>
          <w:rFonts w:hint="eastAsia" w:ascii="仿宋_GB2312" w:hAnsi="Microsoft JhengHei Light" w:eastAsia="仿宋_GB2312" w:cs="仿宋_GB2312"/>
          <w:sz w:val="32"/>
          <w:szCs w:val="32"/>
          <w:lang w:val="en-US" w:eastAsia="zh-CN"/>
        </w:rPr>
        <w:t>2023年新增项目生育托育奖励和免费无创产前基因检测两个项目整合而成，其中：生育托育奖励项目2023年预算安排198万元，免费无创产前基因检测项目2023年预算安排680万元。</w:t>
      </w:r>
    </w:p>
    <w:p w14:paraId="43C34CBE">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（2）项目内容：生育奖励、托育补贴、免费无创产前基因检测</w:t>
      </w:r>
      <w:r>
        <w:rPr>
          <w:rFonts w:hint="eastAsia"/>
          <w:u w:val="none"/>
          <w:lang w:val="en-US" w:eastAsia="zh-CN"/>
        </w:rPr>
        <w:t>。</w:t>
      </w:r>
    </w:p>
    <w:p w14:paraId="10434477">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eastAsia="仿宋"/>
          <w:lang w:val="en-US" w:eastAsia="zh-CN"/>
        </w:rPr>
      </w:pPr>
      <w:r>
        <w:rPr>
          <w:rFonts w:hint="eastAsia"/>
          <w:lang w:val="en-US" w:eastAsia="zh-CN"/>
        </w:rPr>
        <w:t>（3）立项依据：</w:t>
      </w:r>
      <w:r>
        <w:rPr>
          <w:rFonts w:hint="eastAsia" w:ascii="仿宋_GB2312" w:hAnsi="Microsoft JhengHei Light" w:eastAsia="仿宋_GB2312" w:cs="仿宋_GB2312"/>
          <w:sz w:val="32"/>
          <w:szCs w:val="32"/>
          <w:lang w:val="en-US" w:eastAsia="zh-CN"/>
        </w:rPr>
        <w:t>按照《关于优化生育政策促进人口长期均衡发展的实施意见》（黄发【2022】13号）文件，2022年9月1日起，对我市城区符合法律法规规定，生育二孩及以上且小孩落户黄石的家庭，一次性发放1000元生育奖励。对符合法律法规定生育的二孩及以上婴幼儿，在城区登记备案的托育机构入托的，按照每人每年500元标准给予托育机构补贴，所需经费由市级和城区各承担50%。开展托育机构示范创建活动，每两年在全市评选20个示范托育机构予以表扬，分别给予5万元奖补资金。按照《关于开展免费孕妇无创产前DNA检测及诊断项目实施方案》（黄卫办通【2023】3号），每例孕妇无创产前DNA检测按680元结算</w:t>
      </w:r>
      <w:r>
        <w:rPr>
          <w:rFonts w:hint="eastAsia" w:ascii="仿宋" w:hAnsi="仿宋" w:eastAsia="仿宋" w:cs="仿宋"/>
          <w:color w:val="000000"/>
          <w:sz w:val="32"/>
          <w:szCs w:val="32"/>
          <w:u w:val="none"/>
          <w:shd w:val="clear" w:color="auto" w:fill="FFFFFF"/>
          <w:lang w:eastAsia="zh-CN"/>
        </w:rPr>
        <w:t>。</w:t>
      </w:r>
    </w:p>
    <w:p w14:paraId="5994AEC5">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（4）实施单位：</w:t>
      </w:r>
      <w:r>
        <w:rPr>
          <w:rFonts w:hint="eastAsia"/>
          <w:highlight w:val="none"/>
          <w:u w:val="none"/>
          <w:lang w:val="en-US" w:eastAsia="zh-CN"/>
        </w:rPr>
        <w:t>黄石市卫生健康委员会。</w:t>
      </w:r>
    </w:p>
    <w:p w14:paraId="2F5A1DCF">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（5）项目期：2024年度。</w:t>
      </w:r>
    </w:p>
    <w:p w14:paraId="1F2F9353">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（6）年度预算安排：</w:t>
      </w:r>
      <w:r>
        <w:rPr>
          <w:rFonts w:hint="eastAsia" w:ascii="黑体" w:hAnsi="黑体" w:eastAsia="黑体" w:cs="黑体"/>
          <w:b w:val="0"/>
          <w:bCs w:val="0"/>
          <w:sz w:val="32"/>
          <w:szCs w:val="32"/>
          <w:u w:val="none"/>
          <w:lang w:val="en-US" w:eastAsia="zh-CN"/>
        </w:rPr>
        <w:t>2024</w:t>
      </w:r>
      <w:r>
        <w:rPr>
          <w:rFonts w:hint="eastAsia"/>
          <w:lang w:val="en-US" w:eastAsia="zh-CN"/>
        </w:rPr>
        <w:t>年预算安排</w:t>
      </w:r>
      <w:r>
        <w:rPr>
          <w:rFonts w:hint="eastAsia" w:ascii="仿宋_GB2312"/>
          <w:bCs/>
          <w:kern w:val="44"/>
          <w:sz w:val="32"/>
          <w:szCs w:val="32"/>
          <w:highlight w:val="none"/>
          <w:u w:val="single"/>
          <w:lang w:val="en-US" w:eastAsia="zh-CN"/>
        </w:rPr>
        <w:t>400</w:t>
      </w:r>
      <w:r>
        <w:rPr>
          <w:rFonts w:hint="eastAsia"/>
          <w:lang w:val="en-US" w:eastAsia="zh-CN"/>
        </w:rPr>
        <w:t>万元，</w:t>
      </w:r>
      <w:r>
        <w:rPr>
          <w:rFonts w:hint="eastAsia"/>
          <w:u w:val="none"/>
          <w:lang w:val="en-US" w:eastAsia="zh-CN"/>
        </w:rPr>
        <w:t>比上年减少478万元，</w:t>
      </w:r>
      <w:r>
        <w:rPr>
          <w:rFonts w:hint="eastAsia" w:ascii="仿宋_GB2312"/>
          <w:bCs/>
          <w:kern w:val="44"/>
          <w:sz w:val="32"/>
          <w:szCs w:val="32"/>
          <w:highlight w:val="none"/>
          <w:u w:val="none"/>
          <w:lang w:eastAsia="zh-CN"/>
        </w:rPr>
        <w:t>减少</w:t>
      </w:r>
      <w:r>
        <w:rPr>
          <w:rFonts w:hint="eastAsia" w:ascii="仿宋_GB2312"/>
          <w:bCs/>
          <w:kern w:val="44"/>
          <w:sz w:val="32"/>
          <w:szCs w:val="32"/>
          <w:highlight w:val="none"/>
          <w:u w:val="none"/>
          <w:lang w:val="en-US" w:eastAsia="zh-CN"/>
        </w:rPr>
        <w:t>54.44</w:t>
      </w:r>
      <w:r>
        <w:rPr>
          <w:rFonts w:hint="eastAsia" w:ascii="仿宋_GB2312" w:eastAsia="仿宋_GB2312"/>
          <w:bCs/>
          <w:kern w:val="44"/>
          <w:sz w:val="32"/>
          <w:szCs w:val="32"/>
          <w:highlight w:val="none"/>
          <w:u w:val="none"/>
        </w:rPr>
        <w:t>%</w:t>
      </w:r>
      <w:r>
        <w:rPr>
          <w:rFonts w:hint="eastAsia"/>
          <w:u w:val="none"/>
          <w:lang w:val="en-US" w:eastAsia="zh-CN"/>
        </w:rPr>
        <w:t>。其中，400万元资金来源全部为当年一般公共预算财政拨款</w:t>
      </w:r>
      <w:r>
        <w:rPr>
          <w:rFonts w:hint="eastAsia"/>
          <w:lang w:val="en-US" w:eastAsia="zh-CN"/>
        </w:rPr>
        <w:t>。</w:t>
      </w:r>
    </w:p>
    <w:p w14:paraId="21C55E9D">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（7）</w:t>
      </w:r>
      <w:r>
        <w:rPr>
          <w:rFonts w:hint="eastAsia" w:ascii="黑体" w:hAnsi="黑体" w:eastAsia="黑体" w:cs="黑体"/>
          <w:b w:val="0"/>
          <w:bCs w:val="0"/>
          <w:sz w:val="32"/>
          <w:szCs w:val="32"/>
          <w:u w:val="none"/>
          <w:lang w:val="en-US" w:eastAsia="zh-CN"/>
        </w:rPr>
        <w:t>2024</w:t>
      </w:r>
      <w:r>
        <w:rPr>
          <w:rFonts w:hint="eastAsia"/>
          <w:lang w:val="en-US" w:eastAsia="zh-CN"/>
        </w:rPr>
        <w:t>年度项目绩效总目标是：有效释放生育潜能，提升家庭发展能力。</w:t>
      </w:r>
    </w:p>
    <w:p w14:paraId="4F8F0290">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产出指标：生育奖励人数2800人，托育补贴人数800人，无创产前DNA检测人数8000人，奖励资金补助合规率100%，资金发放完成比例100%，奖励资金补助及时率100%。</w:t>
      </w:r>
    </w:p>
    <w:p w14:paraId="2A5F72F9">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效益指标：促进优生优育。</w:t>
      </w:r>
    </w:p>
    <w:p w14:paraId="021DEFAF">
      <w:pPr>
        <w:keepNext w:val="0"/>
        <w:keepLines w:val="0"/>
        <w:pageBreakBefore w:val="0"/>
        <w:widowControl w:val="0"/>
        <w:numPr>
          <w:ilvl w:val="0"/>
          <w:numId w:val="0"/>
        </w:numPr>
        <w:kinsoku/>
        <w:wordWrap/>
        <w:overflowPunct/>
        <w:topLinePunct w:val="0"/>
        <w:autoSpaceDE/>
        <w:autoSpaceDN/>
        <w:bidi w:val="0"/>
        <w:spacing w:line="480" w:lineRule="exact"/>
        <w:ind w:right="0" w:rightChars="0" w:firstLine="640" w:firstLineChars="200"/>
        <w:jc w:val="both"/>
        <w:textAlignment w:val="auto"/>
        <w:outlineLvl w:val="9"/>
        <w:rPr>
          <w:rFonts w:hint="eastAsia" w:ascii="仿宋_GB2312"/>
          <w:b/>
          <w:bCs/>
          <w:color w:val="000000"/>
          <w:sz w:val="32"/>
          <w:szCs w:val="32"/>
          <w:highlight w:val="none"/>
          <w:lang w:val="en-US" w:eastAsia="zh-CN"/>
        </w:rPr>
      </w:pPr>
      <w:r>
        <w:rPr>
          <w:rFonts w:hint="eastAsia"/>
          <w:lang w:val="en-US" w:eastAsia="zh-CN"/>
        </w:rPr>
        <w:t>满意度指标：受奖励对象满意度≥90%。</w:t>
      </w:r>
    </w:p>
    <w:p w14:paraId="2FC05794">
      <w:pPr>
        <w:keepNext w:val="0"/>
        <w:keepLines w:val="0"/>
        <w:pageBreakBefore w:val="0"/>
        <w:widowControl w:val="0"/>
        <w:numPr>
          <w:ilvl w:val="0"/>
          <w:numId w:val="2"/>
        </w:numPr>
        <w:kinsoku/>
        <w:wordWrap/>
        <w:overflowPunct/>
        <w:topLinePunct w:val="0"/>
        <w:autoSpaceDE/>
        <w:autoSpaceDN/>
        <w:bidi w:val="0"/>
        <w:spacing w:line="480" w:lineRule="exact"/>
        <w:ind w:right="0" w:rightChars="0" w:firstLine="640" w:firstLineChars="200"/>
        <w:jc w:val="both"/>
        <w:textAlignment w:val="auto"/>
        <w:outlineLvl w:val="9"/>
        <w:rPr>
          <w:rFonts w:hint="eastAsia" w:ascii="仿宋_GB2312"/>
          <w:b/>
          <w:bCs/>
          <w:color w:val="000000"/>
          <w:sz w:val="32"/>
          <w:szCs w:val="32"/>
          <w:highlight w:val="none"/>
          <w:lang w:val="en-US" w:eastAsia="zh-CN"/>
        </w:rPr>
      </w:pPr>
      <w:r>
        <w:rPr>
          <w:rFonts w:hint="eastAsia"/>
          <w:lang w:val="en-US" w:eastAsia="zh-CN"/>
        </w:rPr>
        <w:t>医疗机构取消药品加成财政专项补助经费项目。</w:t>
      </w:r>
    </w:p>
    <w:p w14:paraId="665CA61F">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eastAsia="仿宋"/>
          <w:u w:val="none"/>
          <w:lang w:val="en-US" w:eastAsia="zh-CN"/>
        </w:rPr>
      </w:pPr>
      <w:r>
        <w:rPr>
          <w:rFonts w:hint="eastAsia"/>
          <w:u w:val="none"/>
          <w:lang w:val="en-US" w:eastAsia="zh-CN"/>
        </w:rPr>
        <w:t>（1）项目概况：</w:t>
      </w:r>
      <w:r>
        <w:rPr>
          <w:rFonts w:hint="eastAsia" w:ascii="仿宋" w:hAnsi="仿宋" w:eastAsia="仿宋"/>
          <w:sz w:val="32"/>
          <w:szCs w:val="32"/>
          <w:u w:val="none"/>
        </w:rPr>
        <w:t>为全面取消药品加成，进一步深化我市城市公立医院综合改革，城市公立医院全面取消药品加成（中药饮片除外），破除以药补医机制。将公立医院补偿由服务收费、药品加成收入和政府补助三个渠道改为服务收费和举办机构补助两个渠道。通过调整医疗服务价格、加大政府投入、改革支付方式、降低医院运行成本等，建立科学合理的补偿机制。缓解群众看病贵。所有公立医院全面取消药品加成（中药饮片除外）。对医院减少的合理收入的补偿，原则上通过医疗技术服务价格调整补偿80%，政府补助20%。对本地区城市公立医院取消药品加成政府补助部分采取绩效考核方式予以补助。我市于2017年7月31日12时取消药品加成。公立医院补偿由服务收费、药品加成收入和政府补助三个渠道改为服务收费和举办机构补助两个渠道，公立医院减少的收入通过价格和财政补偿予以弥补</w:t>
      </w:r>
      <w:r>
        <w:rPr>
          <w:rFonts w:hint="eastAsia" w:ascii="仿宋" w:hAnsi="仿宋" w:eastAsia="仿宋"/>
          <w:sz w:val="32"/>
          <w:szCs w:val="32"/>
          <w:u w:val="none"/>
          <w:lang w:eastAsia="zh-CN"/>
        </w:rPr>
        <w:t>。</w:t>
      </w:r>
    </w:p>
    <w:p w14:paraId="42035F2F">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eastAsia="仿宋"/>
          <w:u w:val="none"/>
          <w:lang w:val="en-US" w:eastAsia="zh-CN"/>
        </w:rPr>
      </w:pPr>
      <w:r>
        <w:rPr>
          <w:rFonts w:hint="eastAsia"/>
          <w:u w:val="none"/>
          <w:lang w:val="en-US" w:eastAsia="zh-CN"/>
        </w:rPr>
        <w:t>（2）项目内容：</w:t>
      </w:r>
      <w:r>
        <w:rPr>
          <w:rFonts w:hint="eastAsia" w:ascii="仿宋" w:hAnsi="仿宋" w:eastAsia="仿宋"/>
          <w:sz w:val="32"/>
          <w:szCs w:val="32"/>
          <w:u w:val="none"/>
        </w:rPr>
        <w:t>全市市中心医院、市妇幼保健院、市中医医院、市二医院、市四医院、市五医院、市精神病院、市结防院、武钢大冶铁矿职工医院、黄石国安医院、十五冶职工医院、湖北理工学院黄石团城山骨科医院、金山店铁矿职工医院、灵乡铁矿职工医院等14家医疗机构，药品加成收入（不含中药饮片）总计10085万元，其中按政策价格补偿80%，计8068万元，财政补偿20%，计2017万元。经费主要用于公立医院落实医改目标，保障</w:t>
      </w:r>
      <w:r>
        <w:rPr>
          <w:rFonts w:hint="eastAsia" w:ascii="仿宋" w:hAnsi="仿宋" w:eastAsia="仿宋"/>
          <w:sz w:val="32"/>
          <w:szCs w:val="32"/>
          <w:u w:val="none"/>
          <w:lang w:eastAsia="zh-CN"/>
        </w:rPr>
        <w:t>医疗机构</w:t>
      </w:r>
      <w:r>
        <w:rPr>
          <w:rFonts w:hint="eastAsia" w:ascii="仿宋" w:hAnsi="仿宋" w:eastAsia="仿宋"/>
          <w:sz w:val="32"/>
          <w:szCs w:val="32"/>
          <w:u w:val="none"/>
        </w:rPr>
        <w:t>运行</w:t>
      </w:r>
      <w:r>
        <w:rPr>
          <w:rFonts w:hint="eastAsia" w:ascii="仿宋" w:hAnsi="仿宋" w:eastAsia="仿宋"/>
          <w:sz w:val="32"/>
          <w:szCs w:val="32"/>
          <w:u w:val="none"/>
          <w:lang w:eastAsia="zh-CN"/>
        </w:rPr>
        <w:t>。</w:t>
      </w:r>
    </w:p>
    <w:p w14:paraId="475B740C">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（3）立项依据：</w:t>
      </w:r>
      <w:r>
        <w:rPr>
          <w:rFonts w:hint="eastAsia" w:ascii="仿宋" w:hAnsi="仿宋" w:eastAsia="仿宋"/>
          <w:sz w:val="32"/>
          <w:szCs w:val="32"/>
          <w:u w:val="none"/>
        </w:rPr>
        <w:t>根据《国务院办公厅关于城市公立医院综合改革试点的指导意见》（国办发〔2015〕38号）、省医改办省卫生计生委等七部门《关于取消药品加成全面启动城市公立医院综合改革工作的通知》（鄂医改办发〔2017〕1号）、市医改办、市卫计委《关于取消药品加成全面启动城市公立医院综合改革工作的通知》（黄医改【2017】4号）有关要求。</w:t>
      </w:r>
    </w:p>
    <w:p w14:paraId="2717A44F">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（4）实施单位：</w:t>
      </w:r>
      <w:r>
        <w:rPr>
          <w:rFonts w:hint="eastAsia"/>
          <w:highlight w:val="none"/>
          <w:u w:val="none"/>
          <w:lang w:val="en-US" w:eastAsia="zh-CN"/>
        </w:rPr>
        <w:t>黄石市卫生健康委员会</w:t>
      </w:r>
      <w:r>
        <w:rPr>
          <w:rFonts w:hint="eastAsia" w:ascii="仿宋" w:hAnsi="仿宋" w:eastAsia="仿宋"/>
          <w:sz w:val="32"/>
          <w:szCs w:val="32"/>
          <w:u w:val="none"/>
          <w:lang w:eastAsia="zh-CN"/>
        </w:rPr>
        <w:t>。</w:t>
      </w:r>
    </w:p>
    <w:p w14:paraId="14269D92">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（5）项目期：2024年。</w:t>
      </w:r>
    </w:p>
    <w:p w14:paraId="12887F24">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（6）年度预算安排：</w:t>
      </w:r>
      <w:r>
        <w:rPr>
          <w:rFonts w:hint="eastAsia" w:ascii="黑体" w:hAnsi="黑体" w:eastAsia="黑体" w:cs="黑体"/>
          <w:b w:val="0"/>
          <w:bCs w:val="0"/>
          <w:sz w:val="32"/>
          <w:szCs w:val="32"/>
          <w:u w:val="none"/>
          <w:lang w:val="en-US" w:eastAsia="zh-CN"/>
        </w:rPr>
        <w:t>2024</w:t>
      </w:r>
      <w:r>
        <w:rPr>
          <w:rFonts w:hint="eastAsia"/>
          <w:u w:val="none"/>
          <w:lang w:val="en-US" w:eastAsia="zh-CN"/>
        </w:rPr>
        <w:t>年预算安排</w:t>
      </w:r>
      <w:r>
        <w:rPr>
          <w:rFonts w:hint="eastAsia" w:ascii="仿宋_GB2312"/>
          <w:bCs/>
          <w:kern w:val="44"/>
          <w:sz w:val="32"/>
          <w:szCs w:val="32"/>
          <w:highlight w:val="none"/>
          <w:u w:val="none"/>
          <w:lang w:val="en-US" w:eastAsia="zh-CN"/>
        </w:rPr>
        <w:t>2017</w:t>
      </w:r>
      <w:r>
        <w:rPr>
          <w:rFonts w:hint="eastAsia"/>
          <w:u w:val="none"/>
          <w:lang w:val="en-US" w:eastAsia="zh-CN"/>
        </w:rPr>
        <w:t>万元，比上年增长27万元，</w:t>
      </w:r>
      <w:r>
        <w:rPr>
          <w:rFonts w:hint="eastAsia" w:ascii="仿宋_GB2312" w:eastAsia="仿宋_GB2312"/>
          <w:bCs/>
          <w:kern w:val="44"/>
          <w:sz w:val="32"/>
          <w:szCs w:val="32"/>
          <w:highlight w:val="none"/>
          <w:u w:val="none"/>
        </w:rPr>
        <w:t>增长</w:t>
      </w:r>
      <w:r>
        <w:rPr>
          <w:rFonts w:hint="eastAsia" w:ascii="仿宋_GB2312"/>
          <w:bCs/>
          <w:kern w:val="44"/>
          <w:sz w:val="32"/>
          <w:szCs w:val="32"/>
          <w:highlight w:val="none"/>
          <w:u w:val="none"/>
          <w:lang w:val="en-US" w:eastAsia="zh-CN"/>
        </w:rPr>
        <w:t>1.36</w:t>
      </w:r>
      <w:r>
        <w:rPr>
          <w:rFonts w:hint="eastAsia" w:ascii="仿宋_GB2312" w:eastAsia="仿宋_GB2312"/>
          <w:bCs/>
          <w:kern w:val="44"/>
          <w:sz w:val="32"/>
          <w:szCs w:val="32"/>
          <w:highlight w:val="none"/>
          <w:u w:val="none"/>
        </w:rPr>
        <w:t>%</w:t>
      </w:r>
      <w:r>
        <w:rPr>
          <w:rFonts w:hint="eastAsia"/>
          <w:u w:val="none"/>
          <w:lang w:val="en-US" w:eastAsia="zh-CN"/>
        </w:rPr>
        <w:t>。其中，2017万元资金来源为当年一般公共预算财政拨款。</w:t>
      </w:r>
    </w:p>
    <w:p w14:paraId="1C0427FF">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（7）</w:t>
      </w:r>
      <w:r>
        <w:rPr>
          <w:rFonts w:hint="eastAsia" w:ascii="黑体" w:hAnsi="黑体" w:eastAsia="黑体" w:cs="黑体"/>
          <w:b w:val="0"/>
          <w:bCs w:val="0"/>
          <w:sz w:val="32"/>
          <w:szCs w:val="32"/>
          <w:u w:val="none"/>
          <w:lang w:val="en-US" w:eastAsia="zh-CN"/>
        </w:rPr>
        <w:t>2024</w:t>
      </w:r>
      <w:r>
        <w:rPr>
          <w:rFonts w:hint="eastAsia"/>
          <w:u w:val="none"/>
          <w:lang w:val="en-US" w:eastAsia="zh-CN"/>
        </w:rPr>
        <w:t>年度项目绩效总目标是：落实医改目标任务，公立医院取消药品加成。</w:t>
      </w:r>
    </w:p>
    <w:p w14:paraId="23268BB6">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产出指标：取消药品加成医疗机构数14家医院，药品加成（中药饮片除外）零加成，财政补偿完成比例100%，政府补偿完成及时率100%，预算控制率100%。</w:t>
      </w:r>
    </w:p>
    <w:p w14:paraId="5B767D5D">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效益指标：减轻患者负担，破除以药补医机制，促进公立医院健康规范发展。</w:t>
      </w:r>
    </w:p>
    <w:p w14:paraId="6842069E">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满意度指标：群众满意度≧90%。</w:t>
      </w:r>
    </w:p>
    <w:p w14:paraId="2BFD0229">
      <w:pPr>
        <w:pStyle w:val="6"/>
        <w:numPr>
          <w:ilvl w:val="0"/>
          <w:numId w:val="0"/>
        </w:numPr>
        <w:ind w:firstLine="640" w:firstLineChars="200"/>
        <w:rPr>
          <w:rFonts w:hint="eastAsia" w:ascii="仿宋_GB2312" w:eastAsia="仿宋_GB2312"/>
          <w:b w:val="0"/>
          <w:bCs w:val="0"/>
          <w:color w:val="000000"/>
          <w:sz w:val="32"/>
          <w:szCs w:val="32"/>
          <w:highlight w:val="none"/>
          <w:u w:val="none"/>
          <w:lang w:val="en-US" w:eastAsia="zh-CN"/>
        </w:rPr>
      </w:pPr>
      <w:r>
        <w:rPr>
          <w:rFonts w:hint="eastAsia" w:ascii="仿宋_GB2312" w:eastAsia="仿宋_GB2312"/>
          <w:b w:val="0"/>
          <w:bCs w:val="0"/>
          <w:color w:val="000000"/>
          <w:sz w:val="32"/>
          <w:szCs w:val="32"/>
          <w:highlight w:val="none"/>
          <w:u w:val="none"/>
          <w:lang w:val="en-US" w:eastAsia="zh-CN"/>
        </w:rPr>
        <w:t>卫生健康管理服务经费项目。</w:t>
      </w:r>
    </w:p>
    <w:p w14:paraId="37C09EA1">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（1）项目概况：由于卫生健康和计生工作职能整合，将原计生事业费、老年健康服务专项经费、疾病应急救助基金等纳入卫生健康管理服务经费中统筹使用。</w:t>
      </w:r>
    </w:p>
    <w:p w14:paraId="541338C8">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2）项目内容：2023年卫生服务工作经费430万元明细组成：失独家庭住院护理险40万元，计划生育特殊家庭公交温馨卡50万元，计生协项目配套经费及工作经费6万元，计划生育利益导向260万元，卫生健康宣教费10万元，职称评审等评审费16万元，疾病应急救助基金3万元，信息化经费30万元、老龄工作经费15万元。</w:t>
      </w:r>
    </w:p>
    <w:p w14:paraId="0A7CDA7A">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3）立项依据：《中华人民共和国人口与计划生育条例》、《湖北省人口与计划生育条例》、《财政部人口计生委关于完善人口和计划生育投入保障机制的意见》。《黄石市村卫生室全科医生定向委托培养定向招聘工作实施方案》(黄政办发〔2017〕49号)，《湖北省省级党政机关评审费管理暂行办法》、《黄石市市级党政机关会议管理费管理办法》、《关于开展2020年度黄石市卫生专业技术高级职务资格区域评审申报工作的通知》、《医院评审暂行办法》、《“十三五”健康老龄化规划》，《市委办公室市政府办公室关于印发黄石市卫生健康委员会职能配置、内设机构和人员编制规定的通知》（黄办文【2019】14号）等。国办发〔2013〕15号《国务院办公厅关于建立疾病应急救助制度的指导意见》、鄂财政发[2014]101号《湖北省疾病应急救助基金管理暂行办法》、鄂卫生计生发[2017]22号《湖北省疾病应急救助基金管理办法》、黄石政规[2014]2号《黄石市疾病应急救助制度实施细则（试行）》、《市财政局关于编制市直部门2020年预算和2020-2022年支出规划的通知》（黄财预发【2019】190号）、《湖北省事业单位政府购买服务改革实施方案》（鄂财综发[2016]44号）、《黄石市财政局关于做好政府购买服务指导性目录编制管理工作的通知》（黄财综发(2019)153号）。</w:t>
      </w:r>
    </w:p>
    <w:p w14:paraId="3B28670F">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（4）实施单位：黄石市卫生健康委员会。</w:t>
      </w:r>
    </w:p>
    <w:p w14:paraId="73D6820E">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（5）项目期：2023年度。</w:t>
      </w:r>
    </w:p>
    <w:p w14:paraId="6C5E2C89">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（6）年度预算安排：</w:t>
      </w:r>
      <w:r>
        <w:rPr>
          <w:rFonts w:hint="eastAsia" w:ascii="黑体" w:hAnsi="黑体" w:eastAsia="黑体" w:cs="黑体"/>
          <w:b w:val="0"/>
          <w:bCs w:val="0"/>
          <w:sz w:val="32"/>
          <w:szCs w:val="32"/>
          <w:u w:val="none"/>
          <w:lang w:val="en-US" w:eastAsia="zh-CN"/>
        </w:rPr>
        <w:t>2023</w:t>
      </w:r>
      <w:r>
        <w:rPr>
          <w:rFonts w:hint="eastAsia"/>
          <w:u w:val="none"/>
          <w:lang w:val="en-US" w:eastAsia="zh-CN"/>
        </w:rPr>
        <w:t>年预算安排430万元，比上年增长0万元，</w:t>
      </w:r>
      <w:r>
        <w:rPr>
          <w:rFonts w:hint="eastAsia" w:ascii="仿宋_GB2312" w:eastAsia="仿宋_GB2312"/>
          <w:bCs/>
          <w:kern w:val="44"/>
          <w:sz w:val="32"/>
          <w:szCs w:val="32"/>
          <w:highlight w:val="none"/>
          <w:u w:val="none"/>
        </w:rPr>
        <w:t>增长</w:t>
      </w:r>
      <w:r>
        <w:rPr>
          <w:rFonts w:hint="eastAsia" w:ascii="仿宋_GB2312"/>
          <w:bCs/>
          <w:kern w:val="44"/>
          <w:sz w:val="32"/>
          <w:szCs w:val="32"/>
          <w:highlight w:val="none"/>
          <w:u w:val="none"/>
          <w:lang w:val="en-US" w:eastAsia="zh-CN"/>
        </w:rPr>
        <w:t>0</w:t>
      </w:r>
      <w:r>
        <w:rPr>
          <w:rFonts w:hint="eastAsia" w:ascii="仿宋_GB2312" w:eastAsia="仿宋_GB2312"/>
          <w:bCs/>
          <w:kern w:val="44"/>
          <w:sz w:val="32"/>
          <w:szCs w:val="32"/>
          <w:highlight w:val="none"/>
          <w:u w:val="none"/>
        </w:rPr>
        <w:t>%</w:t>
      </w:r>
      <w:r>
        <w:rPr>
          <w:rFonts w:hint="eastAsia"/>
          <w:u w:val="none"/>
          <w:lang w:val="en-US" w:eastAsia="zh-CN"/>
        </w:rPr>
        <w:t>。其中，430万元资金全部来源为当年一般公共预算财政拨款。</w:t>
      </w:r>
    </w:p>
    <w:p w14:paraId="399836A6">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（7）</w:t>
      </w:r>
      <w:r>
        <w:rPr>
          <w:rFonts w:hint="eastAsia" w:ascii="黑体" w:hAnsi="黑体" w:eastAsia="黑体" w:cs="黑体"/>
          <w:b w:val="0"/>
          <w:bCs w:val="0"/>
          <w:sz w:val="32"/>
          <w:szCs w:val="32"/>
          <w:u w:val="none"/>
          <w:lang w:val="en-US" w:eastAsia="zh-CN"/>
        </w:rPr>
        <w:t>2023</w:t>
      </w:r>
      <w:r>
        <w:rPr>
          <w:rFonts w:hint="eastAsia"/>
          <w:u w:val="none"/>
          <w:lang w:val="en-US" w:eastAsia="zh-CN"/>
        </w:rPr>
        <w:t>年度项目绩效总目标是：</w:t>
      </w:r>
      <w:r>
        <w:rPr>
          <w:rFonts w:hint="eastAsia" w:ascii="仿宋_GB2312" w:hAnsi="仿宋_GB2312" w:eastAsia="仿宋_GB2312" w:cs="仿宋_GB2312"/>
          <w:b w:val="0"/>
          <w:bCs w:val="0"/>
          <w:sz w:val="32"/>
          <w:szCs w:val="32"/>
          <w:highlight w:val="none"/>
          <w:u w:val="none"/>
          <w:lang w:val="en-US" w:eastAsia="zh-CN"/>
        </w:rPr>
        <w:t>深入推进计生转型发展，重点保障计生两扶、监督执法、住院护理险、计生助你行等工作；为身份不明或无力支付费用的急危重伤病患者得到及时救助、有效的救助。保障职称评审等工作正常开展</w:t>
      </w:r>
      <w:r>
        <w:rPr>
          <w:rFonts w:hint="eastAsia"/>
          <w:u w:val="none"/>
          <w:lang w:val="en-US" w:eastAsia="zh-CN"/>
        </w:rPr>
        <w:t>。</w:t>
      </w:r>
    </w:p>
    <w:p w14:paraId="6E58F1CC">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产出指标：</w:t>
      </w:r>
      <w:r>
        <w:rPr>
          <w:rFonts w:hint="eastAsia" w:ascii="仿宋_GB2312" w:hAnsi="仿宋_GB2312" w:eastAsia="仿宋_GB2312" w:cs="仿宋_GB2312"/>
          <w:b w:val="0"/>
          <w:bCs w:val="0"/>
          <w:sz w:val="32"/>
          <w:szCs w:val="32"/>
          <w:highlight w:val="none"/>
          <w:u w:val="none"/>
          <w:lang w:val="en-US" w:eastAsia="zh-CN"/>
        </w:rPr>
        <w:t>一次性抚慰金人员</w:t>
      </w:r>
      <w:r>
        <w:rPr>
          <w:rFonts w:hint="eastAsia" w:ascii="仿宋_GB2312" w:hAnsi="仿宋_GB2312" w:cs="仿宋_GB2312"/>
          <w:b w:val="0"/>
          <w:bCs w:val="0"/>
          <w:sz w:val="32"/>
          <w:szCs w:val="32"/>
          <w:highlight w:val="none"/>
          <w:u w:val="none"/>
          <w:lang w:val="en-US" w:eastAsia="zh-CN"/>
        </w:rPr>
        <w:t>96</w:t>
      </w:r>
      <w:r>
        <w:rPr>
          <w:rFonts w:hint="eastAsia" w:ascii="仿宋_GB2312" w:hAnsi="仿宋_GB2312" w:eastAsia="仿宋_GB2312" w:cs="仿宋_GB2312"/>
          <w:b w:val="0"/>
          <w:bCs w:val="0"/>
          <w:sz w:val="32"/>
          <w:szCs w:val="32"/>
          <w:highlight w:val="none"/>
          <w:u w:val="none"/>
          <w:lang w:val="en-US" w:eastAsia="zh-CN"/>
        </w:rPr>
        <w:t>人；两扶人员2</w:t>
      </w:r>
      <w:r>
        <w:rPr>
          <w:rFonts w:hint="eastAsia" w:ascii="仿宋_GB2312" w:hAnsi="仿宋_GB2312" w:cs="仿宋_GB2312"/>
          <w:b w:val="0"/>
          <w:bCs w:val="0"/>
          <w:sz w:val="32"/>
          <w:szCs w:val="32"/>
          <w:highlight w:val="none"/>
          <w:u w:val="none"/>
          <w:lang w:val="en-US" w:eastAsia="zh-CN"/>
        </w:rPr>
        <w:t>599</w:t>
      </w:r>
      <w:r>
        <w:rPr>
          <w:rFonts w:hint="eastAsia" w:ascii="仿宋_GB2312" w:hAnsi="仿宋_GB2312" w:eastAsia="仿宋_GB2312" w:cs="仿宋_GB2312"/>
          <w:b w:val="0"/>
          <w:bCs w:val="0"/>
          <w:sz w:val="32"/>
          <w:szCs w:val="32"/>
          <w:highlight w:val="none"/>
          <w:u w:val="none"/>
          <w:lang w:val="en-US" w:eastAsia="zh-CN"/>
        </w:rPr>
        <w:t>人；开展敬老月活动不少于1次；计生技术服务不少于900人次</w:t>
      </w:r>
      <w:r>
        <w:rPr>
          <w:rFonts w:hint="eastAsia" w:ascii="仿宋_GB2312" w:hAnsi="仿宋_GB2312" w:cs="仿宋_GB2312"/>
          <w:b w:val="0"/>
          <w:bCs w:val="0"/>
          <w:sz w:val="32"/>
          <w:szCs w:val="32"/>
          <w:highlight w:val="none"/>
          <w:u w:val="none"/>
          <w:lang w:val="en-US" w:eastAsia="zh-CN"/>
        </w:rPr>
        <w:t>；职称评审、重点学科建设等不少于1次；计划生育特殊家庭公交温馨卡发放完成率1次</w:t>
      </w:r>
      <w:r>
        <w:rPr>
          <w:rFonts w:hint="eastAsia"/>
          <w:u w:val="none"/>
          <w:lang w:val="en-US" w:eastAsia="zh-CN"/>
        </w:rPr>
        <w:t>。</w:t>
      </w:r>
    </w:p>
    <w:p w14:paraId="448AC25C">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效益指标：</w:t>
      </w:r>
      <w:r>
        <w:rPr>
          <w:rFonts w:hint="eastAsia" w:ascii="仿宋_GB2312" w:hAnsi="仿宋_GB2312" w:eastAsia="仿宋_GB2312" w:cs="仿宋_GB2312"/>
          <w:b w:val="0"/>
          <w:bCs w:val="0"/>
          <w:sz w:val="32"/>
          <w:szCs w:val="32"/>
          <w:highlight w:val="none"/>
          <w:u w:val="none"/>
          <w:lang w:val="en-US" w:eastAsia="zh-CN"/>
        </w:rPr>
        <w:t>受助对象经济负担减轻；两扶及抚慰对象受到关怀认可度≥90%；落实计划生育基本国策；较大促进维护生育健康、社会和谐稳定、计生事业转型发展</w:t>
      </w:r>
      <w:r>
        <w:rPr>
          <w:rFonts w:hint="eastAsia"/>
          <w:u w:val="none"/>
          <w:lang w:val="en-US" w:eastAsia="zh-CN"/>
        </w:rPr>
        <w:t>。</w:t>
      </w:r>
    </w:p>
    <w:p w14:paraId="1160A66E">
      <w:pPr>
        <w:keepNext w:val="0"/>
        <w:keepLines w:val="0"/>
        <w:pageBreakBefore w:val="0"/>
        <w:widowControl w:val="0"/>
        <w:numPr>
          <w:ilvl w:val="0"/>
          <w:numId w:val="0"/>
        </w:numPr>
        <w:kinsoku/>
        <w:wordWrap/>
        <w:overflowPunct/>
        <w:topLinePunct w:val="0"/>
        <w:autoSpaceDE/>
        <w:autoSpaceDN/>
        <w:bidi w:val="0"/>
        <w:spacing w:line="480" w:lineRule="exact"/>
        <w:ind w:right="0" w:rightChars="0" w:firstLine="640" w:firstLineChars="200"/>
        <w:jc w:val="both"/>
        <w:textAlignment w:val="auto"/>
        <w:outlineLvl w:val="9"/>
        <w:rPr>
          <w:rFonts w:hint="eastAsia" w:ascii="仿宋_GB2312"/>
          <w:b/>
          <w:bCs/>
          <w:color w:val="000000"/>
          <w:sz w:val="32"/>
          <w:szCs w:val="32"/>
          <w:highlight w:val="none"/>
          <w:lang w:val="en-US" w:eastAsia="zh-CN"/>
        </w:rPr>
      </w:pPr>
      <w:r>
        <w:rPr>
          <w:rFonts w:hint="eastAsia"/>
          <w:u w:val="none"/>
          <w:lang w:val="en-US" w:eastAsia="zh-CN"/>
        </w:rPr>
        <w:t>满意度指标</w:t>
      </w:r>
      <w:r>
        <w:rPr>
          <w:rFonts w:hint="eastAsia" w:ascii="仿宋_GB2312" w:hAnsi="仿宋_GB2312" w:eastAsia="仿宋_GB2312" w:cs="仿宋_GB2312"/>
          <w:b w:val="0"/>
          <w:bCs w:val="0"/>
          <w:sz w:val="32"/>
          <w:szCs w:val="32"/>
          <w:highlight w:val="none"/>
          <w:u w:val="none"/>
          <w:lang w:val="en-US" w:eastAsia="zh-CN"/>
        </w:rPr>
        <w:t>：受助对象及家庭满意度85%以上</w:t>
      </w:r>
      <w:r>
        <w:rPr>
          <w:rFonts w:hint="eastAsia" w:ascii="仿宋_GB2312" w:hAnsi="仿宋_GB2312" w:cs="仿宋_GB2312"/>
          <w:b w:val="0"/>
          <w:bCs w:val="0"/>
          <w:sz w:val="32"/>
          <w:szCs w:val="32"/>
          <w:highlight w:val="none"/>
          <w:u w:val="none"/>
          <w:lang w:val="en-US" w:eastAsia="zh-CN"/>
        </w:rPr>
        <w:t>。</w:t>
      </w:r>
    </w:p>
    <w:p w14:paraId="2EF13E40">
      <w:pPr>
        <w:keepNext w:val="0"/>
        <w:keepLines w:val="0"/>
        <w:pageBreakBefore w:val="0"/>
        <w:widowControl w:val="0"/>
        <w:numPr>
          <w:ilvl w:val="0"/>
          <w:numId w:val="2"/>
        </w:numPr>
        <w:kinsoku/>
        <w:wordWrap/>
        <w:overflowPunct/>
        <w:topLinePunct w:val="0"/>
        <w:autoSpaceDE/>
        <w:autoSpaceDN/>
        <w:bidi w:val="0"/>
        <w:spacing w:line="480" w:lineRule="exact"/>
        <w:ind w:right="0" w:rightChars="0" w:firstLine="643" w:firstLineChars="200"/>
        <w:jc w:val="both"/>
        <w:textAlignment w:val="auto"/>
        <w:outlineLvl w:val="9"/>
        <w:rPr>
          <w:rFonts w:hint="eastAsia" w:ascii="仿宋_GB2312"/>
          <w:b/>
          <w:bCs/>
          <w:color w:val="000000"/>
          <w:sz w:val="32"/>
          <w:szCs w:val="32"/>
          <w:highlight w:val="none"/>
          <w:lang w:val="en-US" w:eastAsia="zh-CN"/>
        </w:rPr>
      </w:pPr>
      <w:r>
        <w:rPr>
          <w:rFonts w:hint="eastAsia" w:ascii="仿宋_GB2312"/>
          <w:b/>
          <w:bCs/>
          <w:color w:val="000000"/>
          <w:sz w:val="32"/>
          <w:szCs w:val="32"/>
          <w:highlight w:val="none"/>
          <w:lang w:val="en-US" w:eastAsia="zh-CN"/>
        </w:rPr>
        <w:t xml:space="preserve"> </w:t>
      </w:r>
      <w:r>
        <w:rPr>
          <w:rFonts w:hint="eastAsia" w:ascii="仿宋_GB2312"/>
          <w:b w:val="0"/>
          <w:bCs w:val="0"/>
          <w:color w:val="000000"/>
          <w:sz w:val="32"/>
          <w:szCs w:val="32"/>
          <w:highlight w:val="none"/>
          <w:lang w:val="en-US" w:eastAsia="zh-CN"/>
        </w:rPr>
        <w:t>卫生健康管理服务经费项目</w:t>
      </w:r>
      <w:r>
        <w:rPr>
          <w:rFonts w:hint="eastAsia" w:ascii="仿宋_GB2312"/>
          <w:b/>
          <w:bCs/>
          <w:color w:val="000000"/>
          <w:sz w:val="32"/>
          <w:szCs w:val="32"/>
          <w:highlight w:val="none"/>
          <w:lang w:val="en-US" w:eastAsia="zh-CN"/>
        </w:rPr>
        <w:t>。</w:t>
      </w:r>
    </w:p>
    <w:p w14:paraId="07EE39E0">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（1）项目概况：根据卫生健康职能职责，将智慧医疗、计生事业费、业务评审等纳入卫生健康管理服务经费中统筹使用。</w:t>
      </w:r>
    </w:p>
    <w:p w14:paraId="48181205">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（2）项目内容：2024年卫生服务工作经费430万元明细组成：失独家庭住院护理险40万元，计划生育家庭奖励扶助、特别扶助371万元等。</w:t>
      </w:r>
    </w:p>
    <w:p w14:paraId="39CC48A0">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3）立项依据：《湖北省省级党政机关评审费管理暂行办法》、《黄石市市级党政机关会议管理费管理办法》、《关于开展2020年度黄石市卫生专业技术高级职务资格区域评审申报工作的通知》、《医院评审暂行办法》，《市委办公室市政府办公室关于印发黄石市卫生健康委员会职能配置、内设机构和人员编制规定的通知》（黄办文【2019】14号）等。《湖北省事业单位政府购买服务改革实施方案》（鄂财综发[2016]44号）、《黄石市财政局关于做好政府购买服务指导性目录编制管理工作的通知》（黄财综发(2019)153号）。</w:t>
      </w:r>
    </w:p>
    <w:p w14:paraId="16580D98">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（4）实施单位：黄石市卫生健康委员会。</w:t>
      </w:r>
    </w:p>
    <w:p w14:paraId="7C37CB90">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（5）项目期：2024年度。</w:t>
      </w:r>
    </w:p>
    <w:p w14:paraId="58C462B5">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（6）年度预算安排：</w:t>
      </w:r>
      <w:r>
        <w:rPr>
          <w:rFonts w:hint="eastAsia" w:ascii="黑体" w:hAnsi="黑体" w:eastAsia="黑体" w:cs="黑体"/>
          <w:b w:val="0"/>
          <w:bCs w:val="0"/>
          <w:sz w:val="32"/>
          <w:szCs w:val="32"/>
          <w:u w:val="none"/>
          <w:lang w:val="en-US" w:eastAsia="zh-CN"/>
        </w:rPr>
        <w:t>2024</w:t>
      </w:r>
      <w:r>
        <w:rPr>
          <w:rFonts w:hint="eastAsia"/>
          <w:u w:val="none"/>
          <w:lang w:val="en-US" w:eastAsia="zh-CN"/>
        </w:rPr>
        <w:t>年预算安排430万元，比上年增长0万元，</w:t>
      </w:r>
      <w:r>
        <w:rPr>
          <w:rFonts w:hint="eastAsia" w:ascii="仿宋_GB2312" w:eastAsia="仿宋_GB2312"/>
          <w:bCs/>
          <w:kern w:val="44"/>
          <w:sz w:val="32"/>
          <w:szCs w:val="32"/>
          <w:highlight w:val="none"/>
          <w:u w:val="none"/>
        </w:rPr>
        <w:t>增长</w:t>
      </w:r>
      <w:r>
        <w:rPr>
          <w:rFonts w:hint="eastAsia" w:ascii="仿宋_GB2312"/>
          <w:bCs/>
          <w:kern w:val="44"/>
          <w:sz w:val="32"/>
          <w:szCs w:val="32"/>
          <w:highlight w:val="none"/>
          <w:u w:val="none"/>
          <w:lang w:val="en-US" w:eastAsia="zh-CN"/>
        </w:rPr>
        <w:t>0</w:t>
      </w:r>
      <w:r>
        <w:rPr>
          <w:rFonts w:hint="eastAsia" w:ascii="仿宋_GB2312" w:eastAsia="仿宋_GB2312"/>
          <w:bCs/>
          <w:kern w:val="44"/>
          <w:sz w:val="32"/>
          <w:szCs w:val="32"/>
          <w:highlight w:val="none"/>
          <w:u w:val="none"/>
        </w:rPr>
        <w:t>%</w:t>
      </w:r>
      <w:r>
        <w:rPr>
          <w:rFonts w:hint="eastAsia"/>
          <w:u w:val="none"/>
          <w:lang w:val="en-US" w:eastAsia="zh-CN"/>
        </w:rPr>
        <w:t>。其中，430万元资金全部来源为当年一般公共预算财政拨款。</w:t>
      </w:r>
    </w:p>
    <w:p w14:paraId="12453C49">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（7）</w:t>
      </w:r>
      <w:r>
        <w:rPr>
          <w:rFonts w:hint="eastAsia" w:ascii="黑体" w:hAnsi="黑体" w:eastAsia="黑体" w:cs="黑体"/>
          <w:b w:val="0"/>
          <w:bCs w:val="0"/>
          <w:sz w:val="32"/>
          <w:szCs w:val="32"/>
          <w:u w:val="none"/>
          <w:lang w:val="en-US" w:eastAsia="zh-CN"/>
        </w:rPr>
        <w:t>2024</w:t>
      </w:r>
      <w:r>
        <w:rPr>
          <w:rFonts w:hint="eastAsia"/>
          <w:u w:val="none"/>
          <w:lang w:val="en-US" w:eastAsia="zh-CN"/>
        </w:rPr>
        <w:t>年度项目绩效总目标是：</w:t>
      </w:r>
      <w:r>
        <w:rPr>
          <w:rFonts w:hint="eastAsia" w:ascii="仿宋_GB2312" w:hAnsi="仿宋_GB2312" w:eastAsia="仿宋_GB2312" w:cs="仿宋_GB2312"/>
          <w:b w:val="0"/>
          <w:bCs w:val="0"/>
          <w:sz w:val="32"/>
          <w:szCs w:val="32"/>
          <w:highlight w:val="none"/>
          <w:u w:val="none"/>
          <w:lang w:val="en-US" w:eastAsia="zh-CN"/>
        </w:rPr>
        <w:t>深入推进计生转型发展，重点保障计生两扶、监督执法、住院护理险、计生助你行等工作；为身份不明或无力支付费用的急危重伤病患者得到及时救助、有效的救助。保障职称评审等工作正常开展</w:t>
      </w:r>
      <w:r>
        <w:rPr>
          <w:rFonts w:hint="eastAsia"/>
          <w:u w:val="none"/>
          <w:lang w:val="en-US" w:eastAsia="zh-CN"/>
        </w:rPr>
        <w:t>。</w:t>
      </w:r>
    </w:p>
    <w:p w14:paraId="40ED0C8F">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产出指标：</w:t>
      </w:r>
      <w:r>
        <w:rPr>
          <w:rFonts w:hint="eastAsia" w:ascii="仿宋_GB2312" w:hAnsi="仿宋_GB2312" w:eastAsia="仿宋_GB2312" w:cs="仿宋_GB2312"/>
          <w:b w:val="0"/>
          <w:bCs w:val="0"/>
          <w:sz w:val="32"/>
          <w:szCs w:val="32"/>
          <w:highlight w:val="none"/>
          <w:u w:val="none"/>
          <w:lang w:val="en-US" w:eastAsia="zh-CN"/>
        </w:rPr>
        <w:t>职称评审、重点学科建设等不少于1次，两扶人员1764人，独生子女死亡家庭一次性抚慰金人数110人，农村计划生育家庭奖励扶助人数520人，生育关怀助你行补助人员600人，补助资金发放标准执行合规率100%，工作任务完成及时率100%</w:t>
      </w:r>
      <w:r>
        <w:rPr>
          <w:rFonts w:hint="eastAsia"/>
          <w:u w:val="none"/>
          <w:lang w:val="en-US" w:eastAsia="zh-CN"/>
        </w:rPr>
        <w:t>。</w:t>
      </w:r>
    </w:p>
    <w:p w14:paraId="356BBBDD">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40" w:firstLineChars="200"/>
        <w:jc w:val="both"/>
        <w:textAlignment w:val="auto"/>
        <w:outlineLvl w:val="9"/>
        <w:rPr>
          <w:rFonts w:hint="eastAsia"/>
          <w:u w:val="none"/>
          <w:lang w:val="en-US" w:eastAsia="zh-CN"/>
        </w:rPr>
      </w:pPr>
      <w:r>
        <w:rPr>
          <w:rFonts w:hint="eastAsia"/>
          <w:u w:val="none"/>
          <w:lang w:val="en-US" w:eastAsia="zh-CN"/>
        </w:rPr>
        <w:t>效益指标：</w:t>
      </w:r>
      <w:r>
        <w:rPr>
          <w:rFonts w:hint="eastAsia" w:ascii="仿宋_GB2312" w:hAnsi="仿宋_GB2312" w:eastAsia="仿宋_GB2312" w:cs="仿宋_GB2312"/>
          <w:b w:val="0"/>
          <w:bCs w:val="0"/>
          <w:sz w:val="32"/>
          <w:szCs w:val="32"/>
          <w:highlight w:val="none"/>
          <w:u w:val="none"/>
          <w:lang w:val="en-US" w:eastAsia="zh-CN"/>
        </w:rPr>
        <w:t>受助对象经济负担减轻，落实计划生育基本国策，较大促进维护生育健康、社会和谐稳定，较大促进计生事业转型发展</w:t>
      </w:r>
      <w:r>
        <w:rPr>
          <w:rFonts w:hint="eastAsia"/>
          <w:u w:val="none"/>
          <w:lang w:val="en-US" w:eastAsia="zh-CN"/>
        </w:rPr>
        <w:t>。</w:t>
      </w:r>
    </w:p>
    <w:p w14:paraId="1926E70C">
      <w:pPr>
        <w:keepNext w:val="0"/>
        <w:keepLines w:val="0"/>
        <w:pageBreakBefore w:val="0"/>
        <w:widowControl w:val="0"/>
        <w:numPr>
          <w:ilvl w:val="0"/>
          <w:numId w:val="0"/>
        </w:numPr>
        <w:kinsoku/>
        <w:wordWrap/>
        <w:overflowPunct/>
        <w:topLinePunct w:val="0"/>
        <w:autoSpaceDE/>
        <w:autoSpaceDN/>
        <w:bidi w:val="0"/>
        <w:spacing w:line="480" w:lineRule="exact"/>
        <w:ind w:right="0" w:rightChars="0" w:firstLine="640" w:firstLineChars="200"/>
        <w:jc w:val="both"/>
        <w:textAlignment w:val="auto"/>
        <w:outlineLvl w:val="9"/>
        <w:rPr>
          <w:rFonts w:hint="eastAsia" w:ascii="仿宋_GB2312"/>
          <w:b/>
          <w:bCs/>
          <w:color w:val="000000"/>
          <w:sz w:val="32"/>
          <w:szCs w:val="32"/>
          <w:highlight w:val="none"/>
          <w:lang w:val="en-US" w:eastAsia="zh-CN"/>
        </w:rPr>
      </w:pPr>
      <w:r>
        <w:rPr>
          <w:rFonts w:hint="eastAsia"/>
          <w:u w:val="none"/>
          <w:lang w:val="en-US" w:eastAsia="zh-CN"/>
        </w:rPr>
        <w:t>满意度指标</w:t>
      </w:r>
      <w:r>
        <w:rPr>
          <w:rFonts w:hint="eastAsia" w:ascii="仿宋_GB2312" w:hAnsi="仿宋_GB2312" w:eastAsia="仿宋_GB2312" w:cs="仿宋_GB2312"/>
          <w:b w:val="0"/>
          <w:bCs w:val="0"/>
          <w:sz w:val="32"/>
          <w:szCs w:val="32"/>
          <w:highlight w:val="none"/>
          <w:u w:val="none"/>
          <w:lang w:val="en-US" w:eastAsia="zh-CN"/>
        </w:rPr>
        <w:t>：受助对象及家庭满意度</w:t>
      </w:r>
      <w:r>
        <w:rPr>
          <w:rFonts w:hint="eastAsia" w:ascii="仿宋_GB2312" w:hAnsi="仿宋_GB2312" w:cs="仿宋_GB2312"/>
          <w:b w:val="0"/>
          <w:bCs w:val="0"/>
          <w:sz w:val="32"/>
          <w:szCs w:val="32"/>
          <w:highlight w:val="none"/>
          <w:u w:val="none"/>
          <w:lang w:val="en-US" w:eastAsia="zh-CN"/>
        </w:rPr>
        <w:t>90</w:t>
      </w:r>
      <w:r>
        <w:rPr>
          <w:rFonts w:hint="eastAsia" w:ascii="仿宋_GB2312" w:hAnsi="仿宋_GB2312" w:eastAsia="仿宋_GB2312" w:cs="仿宋_GB2312"/>
          <w:b w:val="0"/>
          <w:bCs w:val="0"/>
          <w:sz w:val="32"/>
          <w:szCs w:val="32"/>
          <w:highlight w:val="none"/>
          <w:u w:val="none"/>
          <w:lang w:val="en-US" w:eastAsia="zh-CN"/>
        </w:rPr>
        <w:t>%以上</w:t>
      </w:r>
      <w:r>
        <w:rPr>
          <w:rFonts w:hint="eastAsia" w:ascii="仿宋_GB2312" w:hAnsi="仿宋_GB2312" w:cs="仿宋_GB2312"/>
          <w:b w:val="0"/>
          <w:bCs w:val="0"/>
          <w:sz w:val="32"/>
          <w:szCs w:val="32"/>
          <w:highlight w:val="none"/>
          <w:u w:val="none"/>
          <w:lang w:val="en-US" w:eastAsia="zh-CN"/>
        </w:rPr>
        <w:t>。</w:t>
      </w:r>
    </w:p>
    <w:p w14:paraId="4C8393EE">
      <w:pPr>
        <w:adjustRightInd w:val="0"/>
        <w:snapToGrid w:val="0"/>
        <w:spacing w:line="580" w:lineRule="atLeast"/>
        <w:ind w:firstLine="643" w:firstLineChars="200"/>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第九部分  其他需要说明的情况</w:t>
      </w:r>
    </w:p>
    <w:p w14:paraId="744EAF17">
      <w:pPr>
        <w:pStyle w:val="6"/>
        <w:numPr>
          <w:ilvl w:val="0"/>
          <w:numId w:val="0"/>
        </w:numPr>
        <w:ind w:firstLine="64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1、对空表的说明</w:t>
      </w:r>
    </w:p>
    <w:p w14:paraId="7A0F5A8C">
      <w:pPr>
        <w:pStyle w:val="6"/>
        <w:numPr>
          <w:ilvl w:val="0"/>
          <w:numId w:val="0"/>
        </w:numPr>
        <w:ind w:firstLine="640"/>
        <w:rPr>
          <w:rFonts w:hint="eastAsia" w:ascii="仿宋_GB2312" w:hAnsi="仿宋_GB2312" w:cs="仿宋_GB2312"/>
          <w:b w:val="0"/>
          <w:bCs w:val="0"/>
          <w:color w:val="auto"/>
          <w:sz w:val="32"/>
          <w:szCs w:val="32"/>
          <w:highlight w:val="none"/>
          <w:u w:val="none"/>
          <w:lang w:val="en-US" w:eastAsia="zh-CN"/>
        </w:rPr>
      </w:pPr>
      <w:r>
        <w:rPr>
          <w:rFonts w:hint="eastAsia" w:ascii="仿宋_GB2312" w:hAnsi="仿宋_GB2312" w:cs="仿宋_GB2312"/>
          <w:b w:val="0"/>
          <w:bCs w:val="0"/>
          <w:color w:val="auto"/>
          <w:sz w:val="32"/>
          <w:szCs w:val="32"/>
          <w:highlight w:val="none"/>
          <w:u w:val="none"/>
          <w:lang w:val="en-US" w:eastAsia="zh-CN"/>
        </w:rPr>
        <w:t>2024年本单位预算中没有使用政</w:t>
      </w:r>
      <w:r>
        <w:rPr>
          <w:rFonts w:hint="eastAsia" w:ascii="仿宋_GB2312" w:eastAsia="仿宋_GB2312"/>
          <w:b w:val="0"/>
          <w:bCs w:val="0"/>
          <w:color w:val="auto"/>
          <w:sz w:val="32"/>
          <w:szCs w:val="32"/>
          <w:highlight w:val="none"/>
          <w:u w:val="none"/>
          <w:lang w:val="en-US" w:eastAsia="zh-CN"/>
        </w:rPr>
        <w:t>府性基金预算</w:t>
      </w:r>
      <w:r>
        <w:rPr>
          <w:rFonts w:hint="eastAsia" w:ascii="仿宋_GB2312"/>
          <w:b w:val="0"/>
          <w:bCs w:val="0"/>
          <w:color w:val="auto"/>
          <w:sz w:val="32"/>
          <w:szCs w:val="32"/>
          <w:highlight w:val="none"/>
          <w:u w:val="none"/>
          <w:lang w:val="en-US" w:eastAsia="zh-CN"/>
        </w:rPr>
        <w:t>拨款安排的支出</w:t>
      </w:r>
      <w:r>
        <w:rPr>
          <w:rFonts w:hint="eastAsia" w:ascii="仿宋_GB2312" w:eastAsia="仿宋_GB2312"/>
          <w:b w:val="0"/>
          <w:bCs w:val="0"/>
          <w:color w:val="auto"/>
          <w:sz w:val="32"/>
          <w:szCs w:val="32"/>
          <w:highlight w:val="none"/>
          <w:u w:val="none"/>
          <w:lang w:val="en-US" w:eastAsia="zh-CN"/>
        </w:rPr>
        <w:t>，</w:t>
      </w:r>
      <w:r>
        <w:rPr>
          <w:rFonts w:hint="eastAsia" w:ascii="仿宋_GB2312"/>
          <w:b w:val="0"/>
          <w:bCs w:val="0"/>
          <w:color w:val="auto"/>
          <w:sz w:val="32"/>
          <w:szCs w:val="32"/>
          <w:highlight w:val="none"/>
          <w:u w:val="none"/>
          <w:lang w:val="en-US" w:eastAsia="zh-CN"/>
        </w:rPr>
        <w:t>故</w:t>
      </w:r>
      <w:r>
        <w:rPr>
          <w:rFonts w:hint="eastAsia" w:ascii="仿宋_GB2312" w:hAnsi="仿宋_GB2312" w:cs="仿宋_GB2312"/>
          <w:b w:val="0"/>
          <w:bCs w:val="0"/>
          <w:color w:val="auto"/>
          <w:sz w:val="32"/>
          <w:szCs w:val="32"/>
          <w:u w:val="none"/>
          <w:lang w:val="en-US" w:eastAsia="zh-CN"/>
        </w:rPr>
        <w:t>政府性基金预算支出表</w:t>
      </w:r>
      <w:r>
        <w:rPr>
          <w:rFonts w:hint="eastAsia" w:ascii="仿宋_GB2312"/>
          <w:b w:val="0"/>
          <w:bCs w:val="0"/>
          <w:color w:val="auto"/>
          <w:sz w:val="32"/>
          <w:szCs w:val="32"/>
          <w:highlight w:val="none"/>
          <w:u w:val="none"/>
          <w:lang w:val="en-US" w:eastAsia="zh-CN"/>
        </w:rPr>
        <w:t>无数据，</w:t>
      </w:r>
      <w:r>
        <w:rPr>
          <w:rFonts w:hint="eastAsia" w:ascii="仿宋_GB2312" w:hAnsi="仿宋_GB2312" w:cs="仿宋_GB2312"/>
          <w:b w:val="0"/>
          <w:bCs w:val="0"/>
          <w:color w:val="auto"/>
          <w:sz w:val="32"/>
          <w:szCs w:val="32"/>
          <w:highlight w:val="none"/>
          <w:u w:val="none"/>
          <w:lang w:val="en-US" w:eastAsia="zh-CN"/>
        </w:rPr>
        <w:t>与上年一致；</w:t>
      </w:r>
    </w:p>
    <w:p w14:paraId="47B4F641">
      <w:pPr>
        <w:pStyle w:val="6"/>
        <w:numPr>
          <w:ilvl w:val="0"/>
          <w:numId w:val="0"/>
        </w:numPr>
        <w:ind w:firstLine="640"/>
        <w:rPr>
          <w:rFonts w:hint="default" w:ascii="楷体_GB2312" w:hAnsi="楷体_GB2312" w:eastAsia="楷体_GB2312" w:cs="楷体_GB2312"/>
          <w:kern w:val="2"/>
          <w:sz w:val="32"/>
          <w:szCs w:val="32"/>
          <w:highlight w:val="none"/>
          <w:u w:val="none"/>
          <w:lang w:val="en-US" w:eastAsia="zh-CN" w:bidi="ar-SA"/>
        </w:rPr>
      </w:pPr>
      <w:r>
        <w:rPr>
          <w:rFonts w:hint="eastAsia" w:ascii="仿宋_GB2312" w:hAnsi="仿宋_GB2312" w:cs="仿宋_GB2312"/>
          <w:b w:val="0"/>
          <w:bCs w:val="0"/>
          <w:color w:val="auto"/>
          <w:sz w:val="32"/>
          <w:szCs w:val="32"/>
          <w:highlight w:val="none"/>
          <w:u w:val="none"/>
          <w:lang w:val="en-US" w:eastAsia="zh-CN"/>
        </w:rPr>
        <w:t>2024年本单位预算中没有使用国有资本经营预算拨款</w:t>
      </w:r>
      <w:r>
        <w:rPr>
          <w:rFonts w:hint="eastAsia" w:ascii="仿宋_GB2312"/>
          <w:b w:val="0"/>
          <w:bCs w:val="0"/>
          <w:color w:val="auto"/>
          <w:sz w:val="32"/>
          <w:szCs w:val="32"/>
          <w:highlight w:val="none"/>
          <w:u w:val="none"/>
          <w:lang w:val="en-US" w:eastAsia="zh-CN"/>
        </w:rPr>
        <w:t>安排的支出</w:t>
      </w:r>
      <w:r>
        <w:rPr>
          <w:rFonts w:hint="eastAsia" w:ascii="仿宋_GB2312" w:eastAsia="仿宋_GB2312"/>
          <w:b w:val="0"/>
          <w:bCs w:val="0"/>
          <w:color w:val="auto"/>
          <w:sz w:val="32"/>
          <w:szCs w:val="32"/>
          <w:highlight w:val="none"/>
          <w:u w:val="none"/>
          <w:lang w:val="en-US" w:eastAsia="zh-CN"/>
        </w:rPr>
        <w:t>，</w:t>
      </w:r>
      <w:r>
        <w:rPr>
          <w:rFonts w:hint="eastAsia" w:ascii="仿宋_GB2312"/>
          <w:b w:val="0"/>
          <w:bCs w:val="0"/>
          <w:color w:val="auto"/>
          <w:sz w:val="32"/>
          <w:szCs w:val="32"/>
          <w:highlight w:val="none"/>
          <w:u w:val="none"/>
          <w:lang w:val="en-US" w:eastAsia="zh-CN"/>
        </w:rPr>
        <w:t>故</w:t>
      </w:r>
      <w:r>
        <w:rPr>
          <w:rFonts w:hint="eastAsia" w:ascii="仿宋_GB2312" w:hAnsi="仿宋_GB2312" w:cs="仿宋_GB2312"/>
          <w:b w:val="0"/>
          <w:bCs w:val="0"/>
          <w:color w:val="auto"/>
          <w:sz w:val="32"/>
          <w:szCs w:val="32"/>
          <w:u w:val="none"/>
          <w:lang w:val="en-US" w:eastAsia="zh-CN"/>
        </w:rPr>
        <w:t>国有资本经营预算支出表</w:t>
      </w:r>
      <w:r>
        <w:rPr>
          <w:rFonts w:hint="eastAsia" w:ascii="仿宋_GB2312"/>
          <w:b w:val="0"/>
          <w:bCs w:val="0"/>
          <w:color w:val="auto"/>
          <w:sz w:val="32"/>
          <w:szCs w:val="32"/>
          <w:highlight w:val="none"/>
          <w:u w:val="none"/>
          <w:lang w:val="en-US" w:eastAsia="zh-CN"/>
        </w:rPr>
        <w:t>无数据，</w:t>
      </w:r>
      <w:r>
        <w:rPr>
          <w:rFonts w:hint="eastAsia" w:ascii="仿宋_GB2312" w:hAnsi="仿宋_GB2312" w:cs="仿宋_GB2312"/>
          <w:b w:val="0"/>
          <w:bCs w:val="0"/>
          <w:color w:val="auto"/>
          <w:sz w:val="32"/>
          <w:szCs w:val="32"/>
          <w:highlight w:val="none"/>
          <w:u w:val="none"/>
          <w:lang w:val="en-US" w:eastAsia="zh-CN"/>
        </w:rPr>
        <w:t>与上年一致。</w:t>
      </w:r>
    </w:p>
    <w:p w14:paraId="1E9F8FA0">
      <w:pPr>
        <w:pStyle w:val="6"/>
        <w:numPr>
          <w:ilvl w:val="0"/>
          <w:numId w:val="3"/>
        </w:numPr>
        <w:ind w:firstLine="64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对其他情况的说明</w:t>
      </w:r>
    </w:p>
    <w:p w14:paraId="55D98FC2">
      <w:pPr>
        <w:pStyle w:val="6"/>
        <w:numPr>
          <w:ilvl w:val="0"/>
          <w:numId w:val="0"/>
        </w:numPr>
        <w:ind w:firstLine="640" w:firstLineChars="2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（1）政府债务情况说明</w:t>
      </w:r>
    </w:p>
    <w:p w14:paraId="70DDFCEC">
      <w:pPr>
        <w:pStyle w:val="6"/>
        <w:numPr>
          <w:ilvl w:val="0"/>
          <w:numId w:val="0"/>
        </w:numPr>
        <w:ind w:firstLine="640"/>
        <w:rPr>
          <w:rFonts w:hint="eastAsia" w:ascii="仿宋_GB2312" w:eastAsia="仿宋_GB2312"/>
          <w:b w:val="0"/>
          <w:bCs w:val="0"/>
          <w:color w:val="000000"/>
          <w:sz w:val="32"/>
          <w:szCs w:val="32"/>
          <w:highlight w:val="none"/>
          <w:lang w:val="en-US" w:eastAsia="zh-CN"/>
        </w:rPr>
      </w:pPr>
      <w:r>
        <w:rPr>
          <w:rFonts w:hint="eastAsia" w:ascii="黑体" w:hAnsi="黑体" w:eastAsia="黑体" w:cs="黑体"/>
          <w:b w:val="0"/>
          <w:bCs w:val="0"/>
          <w:sz w:val="32"/>
          <w:szCs w:val="32"/>
          <w:u w:val="none"/>
          <w:lang w:val="en-US" w:eastAsia="zh-CN"/>
        </w:rPr>
        <w:t>2023</w:t>
      </w:r>
      <w:r>
        <w:rPr>
          <w:rFonts w:hint="eastAsia" w:ascii="仿宋_GB2312" w:eastAsia="仿宋_GB2312"/>
          <w:b w:val="0"/>
          <w:bCs w:val="0"/>
          <w:color w:val="000000"/>
          <w:sz w:val="32"/>
          <w:szCs w:val="32"/>
          <w:highlight w:val="none"/>
          <w:u w:val="none"/>
          <w:lang w:val="en-US" w:eastAsia="zh-CN"/>
        </w:rPr>
        <w:t>年本单位无政府债务，与上年一致</w:t>
      </w:r>
      <w:r>
        <w:rPr>
          <w:rFonts w:hint="eastAsia" w:ascii="仿宋_GB2312" w:eastAsia="仿宋_GB2312"/>
          <w:b w:val="0"/>
          <w:bCs w:val="0"/>
          <w:color w:val="000000"/>
          <w:sz w:val="32"/>
          <w:szCs w:val="32"/>
          <w:highlight w:val="none"/>
          <w:lang w:val="en-US" w:eastAsia="zh-CN"/>
        </w:rPr>
        <w:t>。</w:t>
      </w:r>
    </w:p>
    <w:p w14:paraId="72F81BBF">
      <w:pPr>
        <w:pStyle w:val="6"/>
        <w:numPr>
          <w:ilvl w:val="0"/>
          <w:numId w:val="0"/>
        </w:numPr>
        <w:ind w:firstLine="640" w:firstLineChars="200"/>
        <w:rPr>
          <w:rFonts w:hint="eastAsia" w:ascii="仿宋_GB2312" w:eastAsia="仿宋_GB2312"/>
          <w:b w:val="0"/>
          <w:bCs w:val="0"/>
          <w:color w:val="000000"/>
          <w:sz w:val="32"/>
          <w:szCs w:val="32"/>
          <w:highlight w:val="none"/>
          <w:lang w:val="en-US" w:eastAsia="zh-CN"/>
        </w:rPr>
      </w:pPr>
      <w:r>
        <w:rPr>
          <w:rFonts w:hint="eastAsia" w:ascii="仿宋_GB2312" w:eastAsia="仿宋_GB2312"/>
          <w:b w:val="0"/>
          <w:bCs w:val="0"/>
          <w:color w:val="000000"/>
          <w:sz w:val="32"/>
          <w:szCs w:val="32"/>
          <w:highlight w:val="none"/>
          <w:lang w:val="en-US" w:eastAsia="zh-CN"/>
        </w:rPr>
        <w:t>（2）其他项目支出绩效情况</w:t>
      </w:r>
    </w:p>
    <w:p w14:paraId="22BE2B89">
      <w:pPr>
        <w:pStyle w:val="6"/>
        <w:numPr>
          <w:ilvl w:val="0"/>
          <w:numId w:val="0"/>
        </w:numPr>
        <w:ind w:firstLine="640" w:firstLineChars="200"/>
        <w:rPr>
          <w:rFonts w:hint="eastAsia" w:ascii="仿宋_GB2312" w:hAnsi="仿宋_GB2312" w:eastAsia="仿宋_GB2312" w:cs="仿宋_GB2312"/>
          <w:b w:val="0"/>
          <w:bCs w:val="0"/>
          <w:sz w:val="32"/>
          <w:szCs w:val="32"/>
          <w:highlight w:val="none"/>
          <w:u w:val="none"/>
          <w:lang w:val="en-US" w:eastAsia="zh-CN"/>
        </w:rPr>
      </w:pPr>
      <w:r>
        <w:rPr>
          <w:rFonts w:hint="eastAsia" w:ascii="仿宋_GB2312" w:eastAsia="仿宋_GB2312"/>
          <w:b w:val="0"/>
          <w:bCs w:val="0"/>
          <w:color w:val="000000"/>
          <w:sz w:val="32"/>
          <w:szCs w:val="32"/>
          <w:highlight w:val="none"/>
          <w:u w:val="none"/>
          <w:lang w:val="en-US" w:eastAsia="zh-CN"/>
        </w:rPr>
        <w:t>1、应急物资储备库房租项目。</w:t>
      </w:r>
      <w:r>
        <w:rPr>
          <w:rFonts w:hint="eastAsia" w:ascii="仿宋_GB2312" w:hAnsi="仿宋_GB2312" w:eastAsia="仿宋_GB2312" w:cs="仿宋_GB2312"/>
          <w:b w:val="0"/>
          <w:bCs w:val="0"/>
          <w:sz w:val="32"/>
          <w:szCs w:val="32"/>
          <w:highlight w:val="none"/>
          <w:u w:val="none"/>
          <w:lang w:val="en-US" w:eastAsia="zh-CN"/>
        </w:rPr>
        <w:t>预算经费50万元。2024年度项目绩效总目标是：保障我市医疗应急物资保障工作正常运转。产出指标：储备仓库1650平方米，储备仓库达到省级标准。效益指标：医疗应急物资储备满足疫情防控需求。满意度指标：客户满意度90%以上。</w:t>
      </w:r>
    </w:p>
    <w:p w14:paraId="34BBBF54">
      <w:pPr>
        <w:pStyle w:val="6"/>
        <w:numPr>
          <w:ilvl w:val="0"/>
          <w:numId w:val="0"/>
        </w:numPr>
        <w:ind w:firstLine="640" w:firstLineChars="200"/>
        <w:rPr>
          <w:rFonts w:hint="eastAsia" w:ascii="仿宋_GB2312" w:hAnsi="仿宋_GB2312" w:eastAsia="仿宋_GB2312" w:cs="仿宋_GB2312"/>
          <w:b w:val="0"/>
          <w:bCs w:val="0"/>
          <w:sz w:val="32"/>
          <w:szCs w:val="32"/>
          <w:highlight w:val="none"/>
          <w:u w:val="none"/>
          <w:lang w:val="en-US" w:eastAsia="zh-CN"/>
        </w:rPr>
      </w:pPr>
      <w:r>
        <w:rPr>
          <w:rFonts w:hint="eastAsia" w:ascii="仿宋_GB2312" w:eastAsia="仿宋_GB2312"/>
          <w:b w:val="0"/>
          <w:bCs w:val="0"/>
          <w:color w:val="000000"/>
          <w:sz w:val="32"/>
          <w:szCs w:val="32"/>
          <w:highlight w:val="none"/>
          <w:u w:val="none"/>
          <w:lang w:val="en-US" w:eastAsia="zh-CN"/>
        </w:rPr>
        <w:t>2、血防经费项目。</w:t>
      </w:r>
      <w:r>
        <w:rPr>
          <w:rFonts w:hint="eastAsia" w:ascii="仿宋_GB2312" w:hAnsi="仿宋_GB2312" w:eastAsia="仿宋_GB2312" w:cs="仿宋_GB2312"/>
          <w:b w:val="0"/>
          <w:bCs w:val="0"/>
          <w:sz w:val="32"/>
          <w:szCs w:val="32"/>
          <w:highlight w:val="none"/>
          <w:u w:val="none"/>
          <w:lang w:val="en-US" w:eastAsia="zh-CN"/>
        </w:rPr>
        <w:t>预算经费40万元。2024年度项目绩效总目标是：全市以行政村为单位人群感染率控制在1%以下，查不到当地新感染的血吸虫病病人。产出指标：查螺5940万㎡，药物灭螺1805万㎡，人群查病28000人次，人群感染率﹤1%（以村为单位），当地新感染的血吸虫病病人为0。效益指标：消除血吸虫病危害，保护疫区群众身体健康，无急感病例。满意度指标：服务对象满意度指标≥90%。</w:t>
      </w:r>
    </w:p>
    <w:p w14:paraId="7B364011">
      <w:pPr>
        <w:pStyle w:val="6"/>
        <w:numPr>
          <w:ilvl w:val="0"/>
          <w:numId w:val="0"/>
        </w:numPr>
        <w:ind w:firstLine="640" w:firstLineChars="200"/>
        <w:rPr>
          <w:rFonts w:hint="eastAsia" w:ascii="仿宋_GB2312" w:hAnsi="仿宋_GB2312" w:eastAsia="仿宋_GB2312" w:cs="仿宋_GB2312"/>
          <w:b w:val="0"/>
          <w:bCs w:val="0"/>
          <w:sz w:val="32"/>
          <w:szCs w:val="32"/>
          <w:highlight w:val="none"/>
          <w:u w:val="none"/>
          <w:lang w:val="en-US" w:eastAsia="zh-CN"/>
        </w:rPr>
      </w:pPr>
      <w:r>
        <w:rPr>
          <w:rFonts w:hint="eastAsia" w:ascii="仿宋_GB2312" w:eastAsia="仿宋_GB2312"/>
          <w:b w:val="0"/>
          <w:bCs w:val="0"/>
          <w:color w:val="000000"/>
          <w:sz w:val="32"/>
          <w:szCs w:val="32"/>
          <w:highlight w:val="none"/>
          <w:u w:val="none"/>
          <w:lang w:val="en-US" w:eastAsia="zh-CN"/>
        </w:rPr>
        <w:t>3、黄石市干部保健工作经费项目。</w:t>
      </w:r>
      <w:r>
        <w:rPr>
          <w:rFonts w:hint="eastAsia" w:ascii="仿宋_GB2312" w:hAnsi="仿宋_GB2312" w:eastAsia="仿宋_GB2312" w:cs="仿宋_GB2312"/>
          <w:b w:val="0"/>
          <w:bCs w:val="0"/>
          <w:sz w:val="32"/>
          <w:szCs w:val="32"/>
          <w:highlight w:val="none"/>
          <w:u w:val="none"/>
          <w:lang w:val="en-US" w:eastAsia="zh-CN"/>
        </w:rPr>
        <w:t>预算经费30万元。2024年度项目绩效总目标是：全面提高保健对象特别是重点保健对象的健康水平和保健意识。产出指标：重点保障对象90人次，提高保健工作管理水平。效益指标：为保健对象提供高质量的医疗技术，解除病痛，促进健康；为我市经济建设及社会发展服务。满意度指标：服务对象满意度≥93%。</w:t>
      </w:r>
    </w:p>
    <w:p w14:paraId="14522B7A">
      <w:pPr>
        <w:pStyle w:val="6"/>
        <w:numPr>
          <w:ilvl w:val="0"/>
          <w:numId w:val="0"/>
        </w:numPr>
        <w:ind w:firstLine="640" w:firstLineChars="200"/>
        <w:rPr>
          <w:rFonts w:hint="eastAsia" w:ascii="仿宋_GB2312" w:hAnsi="仿宋_GB2312" w:eastAsia="仿宋_GB2312" w:cs="仿宋_GB2312"/>
          <w:b w:val="0"/>
          <w:bCs w:val="0"/>
          <w:sz w:val="32"/>
          <w:szCs w:val="32"/>
          <w:highlight w:val="none"/>
          <w:u w:val="none"/>
          <w:lang w:val="en-US" w:eastAsia="zh-CN"/>
        </w:rPr>
      </w:pPr>
      <w:r>
        <w:rPr>
          <w:rFonts w:hint="eastAsia" w:ascii="仿宋_GB2312" w:eastAsia="仿宋_GB2312"/>
          <w:b w:val="0"/>
          <w:bCs w:val="0"/>
          <w:color w:val="000000"/>
          <w:sz w:val="32"/>
          <w:szCs w:val="32"/>
          <w:highlight w:val="none"/>
          <w:u w:val="none"/>
          <w:lang w:val="en-US" w:eastAsia="zh-CN"/>
        </w:rPr>
        <w:t>4、黄石市医疗纠纷人民调解委员会工作经费项目。</w:t>
      </w:r>
      <w:r>
        <w:rPr>
          <w:rFonts w:hint="eastAsia" w:ascii="仿宋_GB2312" w:hAnsi="仿宋_GB2312" w:eastAsia="仿宋_GB2312" w:cs="仿宋_GB2312"/>
          <w:b w:val="0"/>
          <w:bCs w:val="0"/>
          <w:sz w:val="32"/>
          <w:szCs w:val="32"/>
          <w:highlight w:val="none"/>
          <w:u w:val="none"/>
          <w:lang w:val="en-US" w:eastAsia="zh-CN"/>
        </w:rPr>
        <w:t>预算经费25万元。2024年度项目绩效总目标是：有效使我市医闹现象逐年呈下降趋势，还有效防止了医患矛盾激化，维护社会稳定、促进社会和谐，维护医患双方的合法权益。通过调解窗口，充分展示了市政府执政、施政理念。产出指标：2024年受理案件48件,受理案件结案率≥90%，受理案件到成功办结平均时间1个月左右。效益指标：为患者争取赔偿，为医院减少赔偿金，有效缓解了医患矛盾，优化医疗环境，维护了患者的正常权益；全市医疗纠纷和医闹上访事件逐年递减，医患关系得到改善，就医环境得到了优化；避免医疗纠纷矛盾的激化，提供化解医疗纠纷、法律宣传、维护社会和谐稳定的平台；即有效维护了患者的权益，又帮助医疗机构化解纠纷。</w:t>
      </w:r>
    </w:p>
    <w:p w14:paraId="70520EEB">
      <w:pPr>
        <w:pStyle w:val="6"/>
        <w:numPr>
          <w:ilvl w:val="0"/>
          <w:numId w:val="0"/>
        </w:numPr>
        <w:ind w:firstLine="640" w:firstLineChars="200"/>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满意度指标：服务对象满意度≥98%。</w:t>
      </w:r>
    </w:p>
    <w:p w14:paraId="4C07F269">
      <w:pPr>
        <w:pStyle w:val="6"/>
        <w:numPr>
          <w:ilvl w:val="0"/>
          <w:numId w:val="0"/>
        </w:numPr>
        <w:ind w:firstLine="640" w:firstLineChars="200"/>
        <w:rPr>
          <w:rFonts w:hint="eastAsia" w:ascii="仿宋_GB2312" w:eastAsia="仿宋_GB2312"/>
          <w:b w:val="0"/>
          <w:bCs w:val="0"/>
          <w:color w:val="000000"/>
          <w:sz w:val="32"/>
          <w:szCs w:val="32"/>
          <w:highlight w:val="none"/>
          <w:lang w:val="en-US" w:eastAsia="zh-CN"/>
        </w:rPr>
      </w:pPr>
      <w:r>
        <w:rPr>
          <w:rFonts w:hint="eastAsia" w:ascii="仿宋_GB2312" w:eastAsia="仿宋_GB2312"/>
          <w:b w:val="0"/>
          <w:bCs w:val="0"/>
          <w:color w:val="000000"/>
          <w:sz w:val="32"/>
          <w:szCs w:val="32"/>
          <w:highlight w:val="none"/>
          <w:lang w:val="en-US" w:eastAsia="zh-CN"/>
        </w:rPr>
        <w:t>（3）预算公开管理文件</w:t>
      </w:r>
    </w:p>
    <w:p w14:paraId="59FC8AA9">
      <w:pPr>
        <w:widowControl/>
        <w:spacing w:line="560" w:lineRule="exact"/>
        <w:ind w:firstLine="643" w:firstLineChars="200"/>
        <w:jc w:val="both"/>
        <w:rPr>
          <w:rFonts w:hint="eastAsia" w:ascii="仿宋" w:hAnsi="仿宋" w:eastAsia="仿宋" w:cs="Times"/>
          <w:kern w:val="0"/>
          <w:sz w:val="32"/>
          <w:szCs w:val="32"/>
          <w:highlight w:val="none"/>
          <w:lang w:val="en-US" w:eastAsia="zh-CN"/>
        </w:rPr>
      </w:pPr>
      <w:r>
        <w:rPr>
          <w:rFonts w:hint="eastAsia" w:ascii="仿宋" w:hAnsi="仿宋" w:eastAsia="仿宋" w:cs="Times"/>
          <w:b/>
          <w:bCs/>
          <w:kern w:val="0"/>
          <w:sz w:val="32"/>
          <w:szCs w:val="32"/>
          <w:highlight w:val="none"/>
          <w:lang w:val="en-US" w:eastAsia="zh-CN"/>
        </w:rPr>
        <w:t>第十一条</w:t>
      </w:r>
      <w:r>
        <w:rPr>
          <w:rFonts w:hint="eastAsia" w:ascii="仿宋" w:hAnsi="仿宋" w:eastAsia="仿宋" w:cs="Times"/>
          <w:kern w:val="0"/>
          <w:sz w:val="32"/>
          <w:szCs w:val="32"/>
          <w:highlight w:val="none"/>
          <w:lang w:val="en-US" w:eastAsia="zh-CN"/>
        </w:rPr>
        <w:t xml:space="preserve">  部门预决算应当在批复后20日内在委机关门户网站向社会公开，公开原则为以公开为常态，不公开为例外，依法依规公开预决算。除涉及国家秘密外，不得少公开、不公开应当公开的事项，确保公开情况全面、真实、完整。</w:t>
      </w:r>
    </w:p>
    <w:p w14:paraId="07F62703">
      <w:pPr>
        <w:keepNext w:val="0"/>
        <w:keepLines w:val="0"/>
        <w:pageBreakBefore w:val="0"/>
        <w:widowControl w:val="0"/>
        <w:kinsoku/>
        <w:wordWrap/>
        <w:overflowPunct/>
        <w:topLinePunct w:val="0"/>
        <w:autoSpaceDE/>
        <w:autoSpaceDN/>
        <w:bidi w:val="0"/>
        <w:spacing w:line="480" w:lineRule="exact"/>
        <w:ind w:left="0" w:leftChars="0" w:right="0" w:rightChars="0" w:firstLine="640"/>
        <w:jc w:val="both"/>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 w:hAnsi="仿宋" w:eastAsia="仿宋" w:cs="Times"/>
          <w:b/>
          <w:bCs/>
          <w:kern w:val="0"/>
          <w:sz w:val="32"/>
          <w:szCs w:val="32"/>
          <w:highlight w:val="none"/>
          <w:lang w:val="en-US" w:eastAsia="zh-CN"/>
        </w:rPr>
        <w:t>第十二条</w:t>
      </w:r>
      <w:r>
        <w:rPr>
          <w:rFonts w:hint="eastAsia" w:ascii="仿宋" w:hAnsi="仿宋" w:eastAsia="仿宋" w:cs="Times"/>
          <w:kern w:val="0"/>
          <w:sz w:val="32"/>
          <w:szCs w:val="32"/>
          <w:highlight w:val="none"/>
          <w:lang w:val="en-US" w:eastAsia="zh-CN"/>
        </w:rPr>
        <w:t xml:space="preserve">  部门预决算公开的内容为市财政部门批复的部门预决算及报表，包括部门收支总体情况、财政拨款收支情况和其他反映部门预决算的有关信息。</w:t>
      </w:r>
    </w:p>
    <w:p w14:paraId="0FB0FCC2">
      <w:pPr>
        <w:pStyle w:val="6"/>
        <w:rPr>
          <w:rFonts w:hint="eastAsia" w:ascii="黑体" w:hAnsi="黑体" w:eastAsia="黑体" w:cs="黑体"/>
          <w:sz w:val="32"/>
          <w:szCs w:val="32"/>
          <w:lang w:val="en-US" w:eastAsia="zh-CN"/>
        </w:rPr>
      </w:pPr>
      <w:r>
        <w:rPr>
          <w:rFonts w:hint="eastAsia" w:ascii="黑体" w:hAnsi="黑体" w:eastAsia="黑体" w:cs="黑体"/>
          <w:b/>
          <w:bCs/>
          <w:sz w:val="32"/>
          <w:szCs w:val="32"/>
          <w:u w:val="none"/>
          <w:lang w:val="en-US" w:eastAsia="zh-CN"/>
        </w:rPr>
        <w:t>第十部分  专业名词解释</w:t>
      </w:r>
    </w:p>
    <w:p w14:paraId="73A26414">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640" w:firstLineChars="200"/>
        <w:jc w:val="both"/>
        <w:textAlignment w:val="auto"/>
        <w:outlineLvl w:val="9"/>
        <w:rPr>
          <w:rFonts w:hint="eastAsia"/>
          <w:lang w:val="en-US" w:eastAsia="zh-CN"/>
        </w:rPr>
      </w:pPr>
      <w:r>
        <w:rPr>
          <w:rFonts w:hint="eastAsia"/>
          <w:lang w:val="en-US" w:eastAsia="zh-CN"/>
        </w:rPr>
        <w:t>（一）机关运行经费：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14:paraId="3A0C9EDC">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640" w:firstLineChars="200"/>
        <w:jc w:val="both"/>
        <w:textAlignment w:val="auto"/>
        <w:outlineLvl w:val="9"/>
        <w:rPr>
          <w:rFonts w:hint="eastAsia"/>
          <w:lang w:val="en-US" w:eastAsia="zh-CN"/>
        </w:rPr>
      </w:pPr>
      <w:r>
        <w:rPr>
          <w:rFonts w:hint="eastAsia"/>
          <w:lang w:val="en-US" w:eastAsia="zh-CN"/>
        </w:rPr>
        <w:t>（二）“三公”经费：指使用一般公共预算财政拨款安排的因公出国(境)费、 公务用车购置及运行维护费和公务接待费。其中， 因公出国(境)费用反映单位公务出国(境)的国际旅费、国外城市间交通费、住宿费、伙食费、培训费、公杂费等支出；公务用车购置及运行维护费反映单位公务用车车辆购置支出(含车辆购置税、牌照费)、燃料费、维修费、过桥过路费、保险费、安全奖励费用等支出；公务接待费反映单位按规定开支的各类公务接待(含外宾接待)费用。</w:t>
      </w:r>
    </w:p>
    <w:p w14:paraId="1F88214D">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640" w:firstLineChars="200"/>
        <w:jc w:val="both"/>
        <w:textAlignment w:val="auto"/>
        <w:outlineLvl w:val="9"/>
        <w:rPr>
          <w:rFonts w:hint="eastAsia"/>
          <w:lang w:val="en-US" w:eastAsia="zh-CN"/>
        </w:rPr>
      </w:pPr>
      <w:r>
        <w:rPr>
          <w:rFonts w:hint="eastAsia"/>
          <w:lang w:val="en-US" w:eastAsia="zh-CN"/>
        </w:rPr>
        <w:t>（三）财政拨款(补助)收入：指从同级财政部门取得的财政预算资金。</w:t>
      </w:r>
    </w:p>
    <w:p w14:paraId="05958A4B">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640" w:firstLineChars="200"/>
        <w:jc w:val="both"/>
        <w:textAlignment w:val="auto"/>
        <w:outlineLvl w:val="9"/>
        <w:rPr>
          <w:rFonts w:hint="eastAsia"/>
          <w:lang w:val="en-US" w:eastAsia="zh-CN"/>
        </w:rPr>
      </w:pPr>
      <w:r>
        <w:rPr>
          <w:rFonts w:hint="eastAsia"/>
          <w:lang w:val="en-US" w:eastAsia="zh-CN"/>
        </w:rPr>
        <w:t>（四）其他收入：指除上述“财政拨款收入”以外任务相应安排的资金</w:t>
      </w:r>
    </w:p>
    <w:p w14:paraId="63C4391B">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640" w:firstLineChars="200"/>
        <w:jc w:val="both"/>
        <w:textAlignment w:val="auto"/>
        <w:outlineLvl w:val="9"/>
        <w:rPr>
          <w:rFonts w:hint="eastAsia"/>
          <w:lang w:val="en-US" w:eastAsia="zh-CN"/>
        </w:rPr>
      </w:pPr>
      <w:r>
        <w:rPr>
          <w:rFonts w:hint="eastAsia"/>
          <w:lang w:val="en-US" w:eastAsia="zh-CN"/>
        </w:rPr>
        <w:t>（五）基本支出：指为保障机构正常运转、完成日常工作任务而发生的人员支出和公用支出。</w:t>
      </w:r>
    </w:p>
    <w:p w14:paraId="65DD0E66">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640" w:firstLineChars="200"/>
        <w:jc w:val="both"/>
        <w:textAlignment w:val="auto"/>
        <w:outlineLvl w:val="9"/>
        <w:rPr>
          <w:rFonts w:hint="eastAsia"/>
          <w:lang w:val="en-US" w:eastAsia="zh-CN"/>
        </w:rPr>
      </w:pPr>
      <w:r>
        <w:rPr>
          <w:rFonts w:hint="eastAsia"/>
          <w:lang w:val="en-US" w:eastAsia="zh-CN"/>
        </w:rPr>
        <w:t>（六）项目支出：指在基本支出之外为完成特定行政任务和事业发展目标所发生的支出。</w:t>
      </w:r>
    </w:p>
    <w:p w14:paraId="32F5A3C9">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640" w:firstLineChars="200"/>
        <w:jc w:val="both"/>
        <w:textAlignment w:val="auto"/>
        <w:outlineLvl w:val="9"/>
        <w:rPr>
          <w:rFonts w:hint="eastAsia"/>
          <w:lang w:val="en-US" w:eastAsia="zh-CN"/>
        </w:rPr>
      </w:pPr>
      <w:r>
        <w:rPr>
          <w:rFonts w:hint="eastAsia"/>
          <w:lang w:val="en-US" w:eastAsia="zh-CN"/>
        </w:rPr>
        <w:t>（七）政府采购 ： 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14:paraId="7D541332">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3" w:firstLineChars="200"/>
        <w:jc w:val="both"/>
        <w:textAlignment w:val="auto"/>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第十一部分  2024部门预算表</w:t>
      </w:r>
    </w:p>
    <w:p w14:paraId="3B2FB579">
      <w:pPr>
        <w:keepNext w:val="0"/>
        <w:keepLines w:val="0"/>
        <w:pageBreakBefore w:val="0"/>
        <w:widowControl w:val="0"/>
        <w:kinsoku/>
        <w:wordWrap/>
        <w:overflowPunct/>
        <w:topLinePunct w:val="0"/>
        <w:autoSpaceDE/>
        <w:autoSpaceDN/>
        <w:bidi w:val="0"/>
        <w:adjustRightInd w:val="0"/>
        <w:snapToGrid w:val="0"/>
        <w:spacing w:line="460" w:lineRule="atLeast"/>
        <w:ind w:left="0" w:leftChars="0" w:right="-781" w:rightChars="-244" w:firstLine="640" w:firstLineChars="200"/>
        <w:jc w:val="both"/>
        <w:textAlignment w:val="auto"/>
        <w:rPr>
          <w:rFonts w:hint="eastAsia" w:ascii="仿宋_GB2312" w:hAnsi="宋体"/>
          <w:bCs/>
          <w:sz w:val="32"/>
          <w:szCs w:val="32"/>
          <w:highlight w:val="none"/>
          <w:lang w:val="en-US" w:eastAsia="zh-CN"/>
        </w:rPr>
      </w:pPr>
      <w:r>
        <w:rPr>
          <w:rFonts w:hint="eastAsia" w:ascii="仿宋_GB2312" w:hAnsi="宋体" w:eastAsia="仿宋_GB2312"/>
          <w:bCs/>
          <w:sz w:val="32"/>
          <w:szCs w:val="32"/>
          <w:highlight w:val="none"/>
        </w:rPr>
        <w:t>一、</w:t>
      </w:r>
      <w:r>
        <w:rPr>
          <w:rFonts w:hint="eastAsia" w:ascii="黑体" w:hAnsi="黑体" w:eastAsia="黑体" w:cs="黑体"/>
          <w:b w:val="0"/>
          <w:bCs w:val="0"/>
          <w:sz w:val="32"/>
          <w:szCs w:val="32"/>
          <w:u w:val="none"/>
          <w:lang w:val="en-US" w:eastAsia="zh-CN"/>
        </w:rPr>
        <w:t>2024</w:t>
      </w:r>
      <w:r>
        <w:rPr>
          <w:rFonts w:hint="eastAsia" w:ascii="仿宋_GB2312" w:hAnsi="宋体"/>
          <w:bCs/>
          <w:sz w:val="32"/>
          <w:szCs w:val="32"/>
          <w:highlight w:val="none"/>
          <w:lang w:val="en-US" w:eastAsia="zh-CN"/>
        </w:rPr>
        <w:t>年收支总表</w:t>
      </w:r>
    </w:p>
    <w:p w14:paraId="6ED76734">
      <w:pPr>
        <w:keepNext w:val="0"/>
        <w:keepLines w:val="0"/>
        <w:pageBreakBefore w:val="0"/>
        <w:widowControl w:val="0"/>
        <w:kinsoku/>
        <w:wordWrap/>
        <w:overflowPunct/>
        <w:topLinePunct w:val="0"/>
        <w:autoSpaceDE/>
        <w:autoSpaceDN/>
        <w:bidi w:val="0"/>
        <w:adjustRightInd w:val="0"/>
        <w:snapToGrid w:val="0"/>
        <w:spacing w:line="460" w:lineRule="atLeast"/>
        <w:ind w:left="0" w:leftChars="0" w:right="-781" w:rightChars="-244" w:firstLine="640" w:firstLineChars="200"/>
        <w:jc w:val="both"/>
        <w:textAlignment w:val="auto"/>
        <w:rPr>
          <w:rFonts w:hint="default" w:ascii="仿宋_GB2312" w:hAnsi="宋体"/>
          <w:bCs/>
          <w:sz w:val="32"/>
          <w:szCs w:val="32"/>
          <w:highlight w:val="none"/>
          <w:lang w:val="en-US" w:eastAsia="zh-CN"/>
        </w:rPr>
      </w:pPr>
      <w:r>
        <w:drawing>
          <wp:inline distT="0" distB="0" distL="114300" distR="114300">
            <wp:extent cx="5270500" cy="5270500"/>
            <wp:effectExtent l="0" t="0" r="635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270500" cy="5270500"/>
                    </a:xfrm>
                    <a:prstGeom prst="rect">
                      <a:avLst/>
                    </a:prstGeom>
                    <a:noFill/>
                    <a:ln w="9525">
                      <a:noFill/>
                    </a:ln>
                  </pic:spPr>
                </pic:pic>
              </a:graphicData>
            </a:graphic>
          </wp:inline>
        </w:drawing>
      </w:r>
    </w:p>
    <w:p w14:paraId="32DFFD83">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rPr>
          <w:rFonts w:hint="eastAsia" w:ascii="仿宋_GB2312" w:hAnsi="宋体"/>
          <w:bCs/>
          <w:sz w:val="32"/>
          <w:szCs w:val="32"/>
          <w:highlight w:val="none"/>
          <w:lang w:val="en-US" w:eastAsia="zh-CN"/>
        </w:rPr>
      </w:pPr>
      <w:r>
        <w:rPr>
          <w:rFonts w:hint="eastAsia" w:ascii="仿宋_GB2312" w:hAnsi="宋体" w:eastAsia="仿宋_GB2312"/>
          <w:bCs/>
          <w:sz w:val="32"/>
          <w:szCs w:val="32"/>
          <w:highlight w:val="none"/>
        </w:rPr>
        <w:t>二、</w:t>
      </w:r>
      <w:r>
        <w:rPr>
          <w:rFonts w:hint="eastAsia" w:ascii="黑体" w:hAnsi="黑体" w:eastAsia="黑体" w:cs="黑体"/>
          <w:b w:val="0"/>
          <w:bCs w:val="0"/>
          <w:sz w:val="32"/>
          <w:szCs w:val="32"/>
          <w:u w:val="none"/>
          <w:lang w:val="en-US" w:eastAsia="zh-CN"/>
        </w:rPr>
        <w:t>2024</w:t>
      </w:r>
      <w:r>
        <w:rPr>
          <w:rFonts w:hint="eastAsia" w:ascii="仿宋_GB2312" w:hAnsi="宋体"/>
          <w:bCs/>
          <w:sz w:val="32"/>
          <w:szCs w:val="32"/>
          <w:highlight w:val="none"/>
          <w:lang w:val="en-US" w:eastAsia="zh-CN"/>
        </w:rPr>
        <w:t>年收入总表</w:t>
      </w:r>
    </w:p>
    <w:p w14:paraId="61887BD0">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rPr>
          <w:rFonts w:hint="default" w:ascii="仿宋_GB2312" w:hAnsi="宋体"/>
          <w:bCs/>
          <w:sz w:val="32"/>
          <w:szCs w:val="32"/>
          <w:highlight w:val="none"/>
          <w:lang w:val="en-US" w:eastAsia="zh-CN"/>
        </w:rPr>
      </w:pPr>
      <w:r>
        <w:drawing>
          <wp:inline distT="0" distB="0" distL="114300" distR="114300">
            <wp:extent cx="5260340" cy="801370"/>
            <wp:effectExtent l="0" t="0" r="16510" b="177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260340" cy="801370"/>
                    </a:xfrm>
                    <a:prstGeom prst="rect">
                      <a:avLst/>
                    </a:prstGeom>
                    <a:noFill/>
                    <a:ln w="9525">
                      <a:noFill/>
                    </a:ln>
                  </pic:spPr>
                </pic:pic>
              </a:graphicData>
            </a:graphic>
          </wp:inline>
        </w:drawing>
      </w:r>
    </w:p>
    <w:p w14:paraId="040347AF">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rPr>
          <w:rFonts w:hint="eastAsia" w:ascii="仿宋_GB2312" w:hAnsi="宋体"/>
          <w:bCs/>
          <w:sz w:val="32"/>
          <w:szCs w:val="32"/>
          <w:highlight w:val="none"/>
          <w:lang w:val="en-US" w:eastAsia="zh-CN"/>
        </w:rPr>
      </w:pPr>
      <w:r>
        <w:rPr>
          <w:rFonts w:hint="eastAsia" w:ascii="仿宋_GB2312" w:hAnsi="宋体" w:eastAsia="仿宋_GB2312"/>
          <w:bCs/>
          <w:sz w:val="32"/>
          <w:szCs w:val="32"/>
          <w:highlight w:val="none"/>
        </w:rPr>
        <w:t>三、</w:t>
      </w:r>
      <w:r>
        <w:rPr>
          <w:rFonts w:hint="eastAsia" w:ascii="黑体" w:hAnsi="黑体" w:eastAsia="黑体" w:cs="黑体"/>
          <w:b w:val="0"/>
          <w:bCs w:val="0"/>
          <w:sz w:val="32"/>
          <w:szCs w:val="32"/>
          <w:u w:val="none"/>
          <w:lang w:val="en-US" w:eastAsia="zh-CN"/>
        </w:rPr>
        <w:t>2024</w:t>
      </w:r>
      <w:r>
        <w:rPr>
          <w:rFonts w:hint="eastAsia" w:ascii="仿宋_GB2312" w:hAnsi="宋体"/>
          <w:bCs/>
          <w:sz w:val="32"/>
          <w:szCs w:val="32"/>
          <w:highlight w:val="none"/>
          <w:lang w:val="en-US" w:eastAsia="zh-CN"/>
        </w:rPr>
        <w:t>年</w:t>
      </w:r>
      <w:r>
        <w:rPr>
          <w:rFonts w:hint="eastAsia" w:ascii="仿宋_GB2312" w:hAnsi="宋体" w:eastAsia="仿宋_GB2312"/>
          <w:bCs/>
          <w:sz w:val="32"/>
          <w:szCs w:val="32"/>
          <w:highlight w:val="none"/>
        </w:rPr>
        <w:t>支</w:t>
      </w:r>
      <w:r>
        <w:rPr>
          <w:rFonts w:hint="eastAsia" w:ascii="仿宋_GB2312" w:hAnsi="宋体"/>
          <w:bCs/>
          <w:sz w:val="32"/>
          <w:szCs w:val="32"/>
          <w:highlight w:val="none"/>
          <w:lang w:val="en-US" w:eastAsia="zh-CN"/>
        </w:rPr>
        <w:t>出总表</w:t>
      </w:r>
    </w:p>
    <w:p w14:paraId="3781D81B">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rPr>
          <w:rFonts w:hint="default" w:ascii="仿宋_GB2312" w:hAnsi="宋体"/>
          <w:bCs/>
          <w:sz w:val="32"/>
          <w:szCs w:val="32"/>
          <w:highlight w:val="none"/>
          <w:lang w:val="en-US" w:eastAsia="zh-CN"/>
        </w:rPr>
      </w:pPr>
      <w:r>
        <w:drawing>
          <wp:inline distT="0" distB="0" distL="114300" distR="114300">
            <wp:extent cx="5269865" cy="1542415"/>
            <wp:effectExtent l="0" t="0" r="6985" b="6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269865" cy="1542415"/>
                    </a:xfrm>
                    <a:prstGeom prst="rect">
                      <a:avLst/>
                    </a:prstGeom>
                    <a:noFill/>
                    <a:ln w="9525">
                      <a:noFill/>
                    </a:ln>
                  </pic:spPr>
                </pic:pic>
              </a:graphicData>
            </a:graphic>
          </wp:inline>
        </w:drawing>
      </w:r>
    </w:p>
    <w:p w14:paraId="2C12AAB6">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rPr>
          <w:rFonts w:hint="eastAsia" w:ascii="仿宋_GB2312" w:hAnsi="宋体" w:eastAsia="仿宋_GB2312"/>
          <w:bCs/>
          <w:sz w:val="32"/>
          <w:szCs w:val="32"/>
          <w:highlight w:val="none"/>
        </w:rPr>
      </w:pPr>
      <w:r>
        <w:rPr>
          <w:rFonts w:hint="eastAsia" w:ascii="仿宋_GB2312" w:hAnsi="宋体" w:eastAsia="仿宋_GB2312"/>
          <w:bCs/>
          <w:sz w:val="32"/>
          <w:szCs w:val="32"/>
          <w:highlight w:val="none"/>
        </w:rPr>
        <w:t>四、</w:t>
      </w:r>
      <w:r>
        <w:rPr>
          <w:rFonts w:hint="eastAsia" w:ascii="黑体" w:hAnsi="黑体" w:eastAsia="黑体" w:cs="黑体"/>
          <w:b w:val="0"/>
          <w:bCs w:val="0"/>
          <w:sz w:val="32"/>
          <w:szCs w:val="32"/>
          <w:u w:val="none"/>
          <w:lang w:val="en-US" w:eastAsia="zh-CN"/>
        </w:rPr>
        <w:t>2024</w:t>
      </w:r>
      <w:r>
        <w:rPr>
          <w:rFonts w:hint="eastAsia" w:ascii="仿宋_GB2312" w:hAnsi="宋体"/>
          <w:bCs/>
          <w:sz w:val="32"/>
          <w:szCs w:val="32"/>
          <w:highlight w:val="none"/>
          <w:lang w:val="en-US" w:eastAsia="zh-CN"/>
        </w:rPr>
        <w:t>年</w:t>
      </w:r>
      <w:r>
        <w:rPr>
          <w:rFonts w:hint="eastAsia" w:ascii="仿宋_GB2312" w:hAnsi="宋体" w:eastAsia="仿宋_GB2312"/>
          <w:bCs/>
          <w:sz w:val="32"/>
          <w:szCs w:val="32"/>
          <w:highlight w:val="none"/>
        </w:rPr>
        <w:t>财政拨款收支总表</w:t>
      </w:r>
    </w:p>
    <w:p w14:paraId="5713D23D">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rPr>
          <w:rFonts w:hint="eastAsia" w:ascii="仿宋_GB2312" w:hAnsi="宋体" w:eastAsia="仿宋_GB2312"/>
          <w:bCs/>
          <w:sz w:val="32"/>
          <w:szCs w:val="32"/>
          <w:highlight w:val="none"/>
        </w:rPr>
      </w:pPr>
      <w:r>
        <w:drawing>
          <wp:inline distT="0" distB="0" distL="114300" distR="114300">
            <wp:extent cx="5273675" cy="5163820"/>
            <wp:effectExtent l="0" t="0" r="3175" b="1778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5273675" cy="5163820"/>
                    </a:xfrm>
                    <a:prstGeom prst="rect">
                      <a:avLst/>
                    </a:prstGeom>
                    <a:noFill/>
                    <a:ln w="9525">
                      <a:noFill/>
                    </a:ln>
                  </pic:spPr>
                </pic:pic>
              </a:graphicData>
            </a:graphic>
          </wp:inline>
        </w:drawing>
      </w:r>
    </w:p>
    <w:p w14:paraId="0C39A171">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rPr>
          <w:rFonts w:hint="eastAsia" w:ascii="仿宋_GB2312" w:hAnsi="宋体" w:eastAsia="仿宋_GB2312"/>
          <w:bCs/>
          <w:sz w:val="32"/>
          <w:szCs w:val="32"/>
          <w:highlight w:val="none"/>
        </w:rPr>
      </w:pPr>
      <w:r>
        <w:rPr>
          <w:rFonts w:hint="eastAsia" w:ascii="仿宋_GB2312" w:hAnsi="宋体" w:eastAsia="仿宋_GB2312"/>
          <w:bCs/>
          <w:sz w:val="32"/>
          <w:szCs w:val="32"/>
          <w:highlight w:val="none"/>
        </w:rPr>
        <w:t>五、</w:t>
      </w:r>
      <w:r>
        <w:rPr>
          <w:rFonts w:hint="eastAsia" w:ascii="黑体" w:hAnsi="黑体" w:eastAsia="黑体" w:cs="黑体"/>
          <w:b w:val="0"/>
          <w:bCs w:val="0"/>
          <w:sz w:val="32"/>
          <w:szCs w:val="32"/>
          <w:u w:val="none"/>
          <w:lang w:val="en-US" w:eastAsia="zh-CN"/>
        </w:rPr>
        <w:t>2024</w:t>
      </w:r>
      <w:r>
        <w:rPr>
          <w:rFonts w:hint="eastAsia" w:ascii="仿宋_GB2312" w:hAnsi="宋体"/>
          <w:bCs/>
          <w:sz w:val="32"/>
          <w:szCs w:val="32"/>
          <w:highlight w:val="none"/>
          <w:lang w:val="en-US" w:eastAsia="zh-CN"/>
        </w:rPr>
        <w:t>年</w:t>
      </w:r>
      <w:r>
        <w:rPr>
          <w:rFonts w:hint="eastAsia" w:ascii="仿宋_GB2312" w:hAnsi="宋体" w:eastAsia="仿宋_GB2312"/>
          <w:bCs/>
          <w:sz w:val="32"/>
          <w:szCs w:val="32"/>
          <w:highlight w:val="none"/>
        </w:rPr>
        <w:t>一般公共预算支出表</w:t>
      </w:r>
    </w:p>
    <w:p w14:paraId="26AFBE77">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rPr>
          <w:rFonts w:hint="eastAsia" w:ascii="仿宋_GB2312" w:hAnsi="宋体" w:eastAsia="仿宋_GB2312"/>
          <w:bCs/>
          <w:sz w:val="32"/>
          <w:szCs w:val="32"/>
          <w:highlight w:val="none"/>
          <w:lang w:val="en-US" w:eastAsia="zh-CN"/>
        </w:rPr>
      </w:pPr>
      <w:r>
        <w:drawing>
          <wp:inline distT="0" distB="0" distL="114300" distR="114300">
            <wp:extent cx="5272405" cy="1663700"/>
            <wp:effectExtent l="0" t="0" r="4445" b="1270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9"/>
                    <a:stretch>
                      <a:fillRect/>
                    </a:stretch>
                  </pic:blipFill>
                  <pic:spPr>
                    <a:xfrm>
                      <a:off x="0" y="0"/>
                      <a:ext cx="5272405" cy="1663700"/>
                    </a:xfrm>
                    <a:prstGeom prst="rect">
                      <a:avLst/>
                    </a:prstGeom>
                    <a:noFill/>
                    <a:ln w="9525">
                      <a:noFill/>
                    </a:ln>
                  </pic:spPr>
                </pic:pic>
              </a:graphicData>
            </a:graphic>
          </wp:inline>
        </w:drawing>
      </w:r>
    </w:p>
    <w:p w14:paraId="72AEA3B3">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rPr>
          <w:rFonts w:hint="eastAsia" w:ascii="仿宋_GB2312" w:hAnsi="宋体"/>
          <w:bCs/>
          <w:sz w:val="32"/>
          <w:szCs w:val="32"/>
          <w:highlight w:val="none"/>
          <w:lang w:val="en-US" w:eastAsia="zh-CN"/>
        </w:rPr>
      </w:pPr>
      <w:r>
        <w:rPr>
          <w:rFonts w:hint="eastAsia" w:ascii="仿宋_GB2312" w:hAnsi="宋体" w:eastAsia="仿宋_GB2312"/>
          <w:bCs/>
          <w:sz w:val="32"/>
          <w:szCs w:val="32"/>
          <w:highlight w:val="none"/>
        </w:rPr>
        <w:t>六、</w:t>
      </w:r>
      <w:r>
        <w:rPr>
          <w:rFonts w:hint="eastAsia" w:ascii="仿宋_GB2312" w:hAnsi="宋体"/>
          <w:bCs/>
          <w:sz w:val="32"/>
          <w:szCs w:val="32"/>
          <w:highlight w:val="none"/>
          <w:lang w:val="en-US" w:eastAsia="zh-CN"/>
        </w:rPr>
        <w:t>2024年一般公共预算基本支出表</w:t>
      </w:r>
    </w:p>
    <w:p w14:paraId="5AE979CE">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rPr>
          <w:rFonts w:hint="default" w:ascii="仿宋_GB2312" w:hAnsi="宋体"/>
          <w:bCs/>
          <w:sz w:val="32"/>
          <w:szCs w:val="32"/>
          <w:highlight w:val="none"/>
          <w:lang w:val="en-US" w:eastAsia="zh-CN"/>
        </w:rPr>
      </w:pPr>
      <w:r>
        <w:drawing>
          <wp:inline distT="0" distB="0" distL="114300" distR="114300">
            <wp:extent cx="5271770" cy="4158615"/>
            <wp:effectExtent l="0" t="0" r="5080" b="1333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tretch>
                      <a:fillRect/>
                    </a:stretch>
                  </pic:blipFill>
                  <pic:spPr>
                    <a:xfrm>
                      <a:off x="0" y="0"/>
                      <a:ext cx="5271770" cy="4158615"/>
                    </a:xfrm>
                    <a:prstGeom prst="rect">
                      <a:avLst/>
                    </a:prstGeom>
                    <a:noFill/>
                    <a:ln w="9525">
                      <a:noFill/>
                    </a:ln>
                  </pic:spPr>
                </pic:pic>
              </a:graphicData>
            </a:graphic>
          </wp:inline>
        </w:drawing>
      </w:r>
    </w:p>
    <w:p w14:paraId="5137F714">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rPr>
          <w:rFonts w:hint="eastAsia" w:ascii="仿宋_GB2312" w:hAnsi="宋体" w:eastAsia="仿宋_GB2312"/>
          <w:bCs/>
          <w:sz w:val="32"/>
          <w:szCs w:val="32"/>
          <w:highlight w:val="none"/>
        </w:rPr>
      </w:pPr>
      <w:r>
        <w:rPr>
          <w:rFonts w:hint="eastAsia" w:ascii="仿宋_GB2312" w:hAnsi="宋体" w:eastAsia="仿宋_GB2312"/>
          <w:bCs/>
          <w:sz w:val="32"/>
          <w:szCs w:val="32"/>
          <w:highlight w:val="none"/>
        </w:rPr>
        <w:t>七、</w:t>
      </w:r>
      <w:r>
        <w:rPr>
          <w:rFonts w:hint="eastAsia" w:ascii="黑体" w:hAnsi="黑体" w:eastAsia="黑体" w:cs="黑体"/>
          <w:b w:val="0"/>
          <w:bCs w:val="0"/>
          <w:sz w:val="32"/>
          <w:szCs w:val="32"/>
          <w:u w:val="none"/>
          <w:lang w:val="en-US" w:eastAsia="zh-CN"/>
        </w:rPr>
        <w:t>2024</w:t>
      </w:r>
      <w:r>
        <w:rPr>
          <w:rFonts w:hint="eastAsia" w:ascii="仿宋_GB2312" w:hAnsi="宋体"/>
          <w:bCs/>
          <w:sz w:val="32"/>
          <w:szCs w:val="32"/>
          <w:highlight w:val="none"/>
          <w:lang w:val="en-US" w:eastAsia="zh-CN"/>
        </w:rPr>
        <w:t>年一般公共预算</w:t>
      </w:r>
      <w:r>
        <w:rPr>
          <w:rFonts w:hint="eastAsia" w:ascii="仿宋_GB2312" w:hAnsi="宋体" w:eastAsia="仿宋_GB2312"/>
          <w:bCs/>
          <w:sz w:val="32"/>
          <w:szCs w:val="32"/>
          <w:highlight w:val="none"/>
        </w:rPr>
        <w:t>“三公”经费支出表</w:t>
      </w:r>
    </w:p>
    <w:p w14:paraId="62B3B7ED">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rPr>
          <w:rFonts w:hint="default" w:ascii="仿宋_GB2312" w:hAnsi="宋体" w:eastAsia="仿宋_GB2312"/>
          <w:bCs/>
          <w:sz w:val="32"/>
          <w:szCs w:val="32"/>
          <w:highlight w:val="none"/>
          <w:lang w:val="en-US" w:eastAsia="zh-CN"/>
        </w:rPr>
      </w:pPr>
      <w:r>
        <w:drawing>
          <wp:inline distT="0" distB="0" distL="114300" distR="114300">
            <wp:extent cx="5266055" cy="1065530"/>
            <wp:effectExtent l="0" t="0" r="10795" b="127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1"/>
                    <a:stretch>
                      <a:fillRect/>
                    </a:stretch>
                  </pic:blipFill>
                  <pic:spPr>
                    <a:xfrm>
                      <a:off x="0" y="0"/>
                      <a:ext cx="5266055" cy="1065530"/>
                    </a:xfrm>
                    <a:prstGeom prst="rect">
                      <a:avLst/>
                    </a:prstGeom>
                    <a:noFill/>
                    <a:ln w="9525">
                      <a:noFill/>
                    </a:ln>
                  </pic:spPr>
                </pic:pic>
              </a:graphicData>
            </a:graphic>
          </wp:inline>
        </w:drawing>
      </w:r>
    </w:p>
    <w:p w14:paraId="73C11DD5">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rPr>
          <w:rFonts w:hint="eastAsia" w:ascii="仿宋_GB2312" w:hAnsi="宋体" w:eastAsia="仿宋_GB2312"/>
          <w:bCs/>
          <w:sz w:val="32"/>
          <w:szCs w:val="32"/>
          <w:highlight w:val="none"/>
        </w:rPr>
      </w:pPr>
      <w:r>
        <w:rPr>
          <w:rFonts w:hint="eastAsia" w:ascii="仿宋_GB2312" w:hAnsi="宋体" w:eastAsia="仿宋_GB2312"/>
          <w:bCs/>
          <w:sz w:val="32"/>
          <w:szCs w:val="32"/>
          <w:highlight w:val="none"/>
        </w:rPr>
        <w:t>八、</w:t>
      </w:r>
      <w:r>
        <w:rPr>
          <w:rFonts w:hint="eastAsia" w:ascii="黑体" w:hAnsi="黑体" w:eastAsia="黑体" w:cs="黑体"/>
          <w:b w:val="0"/>
          <w:bCs w:val="0"/>
          <w:sz w:val="32"/>
          <w:szCs w:val="32"/>
          <w:u w:val="none"/>
          <w:lang w:val="en-US" w:eastAsia="zh-CN"/>
        </w:rPr>
        <w:t>2024</w:t>
      </w:r>
      <w:r>
        <w:rPr>
          <w:rFonts w:hint="eastAsia" w:ascii="仿宋_GB2312" w:hAnsi="宋体"/>
          <w:bCs/>
          <w:sz w:val="32"/>
          <w:szCs w:val="32"/>
          <w:highlight w:val="none"/>
          <w:lang w:val="en-US" w:eastAsia="zh-CN"/>
        </w:rPr>
        <w:t>年</w:t>
      </w:r>
      <w:r>
        <w:rPr>
          <w:rFonts w:hint="eastAsia" w:ascii="仿宋_GB2312" w:hAnsi="宋体" w:eastAsia="仿宋_GB2312"/>
          <w:bCs/>
          <w:sz w:val="32"/>
          <w:szCs w:val="32"/>
          <w:highlight w:val="none"/>
        </w:rPr>
        <w:t>政府性基金预算支出表</w:t>
      </w:r>
    </w:p>
    <w:p w14:paraId="0A6F0366">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rPr>
          <w:rFonts w:hint="eastAsia" w:ascii="仿宋_GB2312" w:hAnsi="宋体" w:eastAsia="仿宋_GB2312"/>
          <w:bCs/>
          <w:sz w:val="32"/>
          <w:szCs w:val="32"/>
          <w:highlight w:val="none"/>
          <w:lang w:eastAsia="zh-CN"/>
        </w:rPr>
      </w:pPr>
      <w:r>
        <w:drawing>
          <wp:inline distT="0" distB="0" distL="114300" distR="114300">
            <wp:extent cx="5274310" cy="1583690"/>
            <wp:effectExtent l="0" t="0" r="2540" b="1651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2"/>
                    <a:stretch>
                      <a:fillRect/>
                    </a:stretch>
                  </pic:blipFill>
                  <pic:spPr>
                    <a:xfrm>
                      <a:off x="0" y="0"/>
                      <a:ext cx="5274310" cy="1583690"/>
                    </a:xfrm>
                    <a:prstGeom prst="rect">
                      <a:avLst/>
                    </a:prstGeom>
                    <a:noFill/>
                    <a:ln w="9525">
                      <a:noFill/>
                    </a:ln>
                  </pic:spPr>
                </pic:pic>
              </a:graphicData>
            </a:graphic>
          </wp:inline>
        </w:drawing>
      </w:r>
    </w:p>
    <w:p w14:paraId="7A48F6D1">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rPr>
          <w:rFonts w:hint="eastAsia" w:ascii="仿宋_GB2312" w:hAnsi="宋体" w:eastAsia="仿宋_GB2312"/>
          <w:bCs/>
          <w:sz w:val="32"/>
          <w:szCs w:val="32"/>
          <w:highlight w:val="none"/>
          <w:lang w:val="en-US" w:eastAsia="zh-CN"/>
        </w:rPr>
      </w:pPr>
      <w:r>
        <w:rPr>
          <w:rFonts w:hint="eastAsia" w:ascii="仿宋_GB2312" w:hAnsi="宋体" w:eastAsia="仿宋_GB2312"/>
          <w:bCs/>
          <w:sz w:val="32"/>
          <w:szCs w:val="32"/>
          <w:highlight w:val="none"/>
          <w:lang w:eastAsia="zh-CN"/>
        </w:rPr>
        <w:t>九、</w:t>
      </w:r>
      <w:r>
        <w:rPr>
          <w:rFonts w:hint="eastAsia" w:ascii="黑体" w:hAnsi="黑体" w:eastAsia="黑体" w:cs="黑体"/>
          <w:b w:val="0"/>
          <w:bCs w:val="0"/>
          <w:sz w:val="32"/>
          <w:szCs w:val="32"/>
          <w:u w:val="none"/>
          <w:lang w:val="en-US" w:eastAsia="zh-CN"/>
        </w:rPr>
        <w:t>2025</w:t>
      </w:r>
      <w:r>
        <w:rPr>
          <w:rFonts w:hint="eastAsia" w:ascii="仿宋_GB2312" w:hAnsi="宋体" w:eastAsia="仿宋_GB2312"/>
          <w:bCs/>
          <w:sz w:val="32"/>
          <w:szCs w:val="32"/>
          <w:highlight w:val="none"/>
          <w:lang w:val="en-US" w:eastAsia="zh-CN"/>
        </w:rPr>
        <w:t>年项目支出表</w:t>
      </w:r>
    </w:p>
    <w:p w14:paraId="7BC3798B">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rPr>
          <w:rFonts w:hint="eastAsia" w:ascii="仿宋_GB2312" w:hAnsi="宋体" w:eastAsia="仿宋_GB2312"/>
          <w:bCs/>
          <w:sz w:val="32"/>
          <w:szCs w:val="32"/>
          <w:highlight w:val="none"/>
          <w:lang w:val="en-US" w:eastAsia="zh-CN"/>
        </w:rPr>
      </w:pPr>
      <w:r>
        <w:drawing>
          <wp:inline distT="0" distB="0" distL="114300" distR="114300">
            <wp:extent cx="5272405" cy="2152015"/>
            <wp:effectExtent l="0" t="0" r="4445" b="63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3"/>
                    <a:stretch>
                      <a:fillRect/>
                    </a:stretch>
                  </pic:blipFill>
                  <pic:spPr>
                    <a:xfrm>
                      <a:off x="0" y="0"/>
                      <a:ext cx="5272405" cy="2152015"/>
                    </a:xfrm>
                    <a:prstGeom prst="rect">
                      <a:avLst/>
                    </a:prstGeom>
                    <a:noFill/>
                    <a:ln w="9525">
                      <a:noFill/>
                    </a:ln>
                  </pic:spPr>
                </pic:pic>
              </a:graphicData>
            </a:graphic>
          </wp:inline>
        </w:drawing>
      </w:r>
    </w:p>
    <w:p w14:paraId="17E57ED4">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rPr>
          <w:rFonts w:hint="eastAsia" w:ascii="仿宋_GB2312" w:hAnsi="宋体"/>
          <w:bCs/>
          <w:sz w:val="32"/>
          <w:szCs w:val="32"/>
          <w:highlight w:val="none"/>
          <w:lang w:val="en-US" w:eastAsia="zh-CN"/>
        </w:rPr>
      </w:pPr>
      <w:r>
        <w:rPr>
          <w:rFonts w:hint="eastAsia" w:ascii="仿宋_GB2312" w:hAnsi="宋体"/>
          <w:bCs/>
          <w:sz w:val="32"/>
          <w:szCs w:val="32"/>
          <w:highlight w:val="none"/>
          <w:lang w:val="en-US" w:eastAsia="zh-CN"/>
        </w:rPr>
        <w:t>十、</w:t>
      </w:r>
      <w:r>
        <w:rPr>
          <w:rFonts w:hint="eastAsia" w:ascii="黑体" w:hAnsi="黑体" w:eastAsia="黑体" w:cs="黑体"/>
          <w:b w:val="0"/>
          <w:bCs w:val="0"/>
          <w:sz w:val="32"/>
          <w:szCs w:val="32"/>
          <w:u w:val="none"/>
          <w:lang w:val="en-US" w:eastAsia="zh-CN"/>
        </w:rPr>
        <w:t>2024</w:t>
      </w:r>
      <w:r>
        <w:rPr>
          <w:rFonts w:hint="eastAsia" w:ascii="仿宋_GB2312" w:hAnsi="宋体"/>
          <w:bCs/>
          <w:sz w:val="32"/>
          <w:szCs w:val="32"/>
          <w:highlight w:val="none"/>
          <w:lang w:val="en-US" w:eastAsia="zh-CN"/>
        </w:rPr>
        <w:t>年国有资本经营预算支出表</w:t>
      </w:r>
    </w:p>
    <w:p w14:paraId="5BD985D0">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0" w:firstLineChars="200"/>
        <w:jc w:val="both"/>
        <w:textAlignment w:val="auto"/>
        <w:rPr>
          <w:rFonts w:hint="eastAsia" w:ascii="仿宋_GB2312" w:hAnsi="宋体"/>
          <w:bCs/>
          <w:sz w:val="32"/>
          <w:szCs w:val="32"/>
          <w:highlight w:val="none"/>
          <w:lang w:val="en-US" w:eastAsia="zh-CN"/>
        </w:rPr>
      </w:pPr>
      <w:r>
        <w:drawing>
          <wp:inline distT="0" distB="0" distL="114300" distR="114300">
            <wp:extent cx="5271770" cy="1419860"/>
            <wp:effectExtent l="0" t="0" r="5080" b="889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4"/>
                    <a:stretch>
                      <a:fillRect/>
                    </a:stretch>
                  </pic:blipFill>
                  <pic:spPr>
                    <a:xfrm>
                      <a:off x="0" y="0"/>
                      <a:ext cx="5271770" cy="1419860"/>
                    </a:xfrm>
                    <a:prstGeom prst="rect">
                      <a:avLst/>
                    </a:prstGeom>
                    <a:noFill/>
                    <a:ln w="9525">
                      <a:noFill/>
                    </a:ln>
                  </pic:spPr>
                </pic:pic>
              </a:graphicData>
            </a:graphic>
          </wp:inline>
        </w:drawing>
      </w:r>
    </w:p>
    <w:p w14:paraId="60F665BF">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643" w:firstLineChars="200"/>
        <w:jc w:val="both"/>
        <w:textAlignment w:val="auto"/>
        <w:rPr>
          <w:rFonts w:hint="eastAsia" w:ascii="黑体" w:hAnsi="黑体" w:eastAsia="黑体" w:cs="黑体"/>
          <w:b/>
          <w:bCs/>
          <w:sz w:val="32"/>
          <w:szCs w:val="32"/>
          <w:u w:val="none"/>
          <w:lang w:val="en-US" w:eastAsia="zh-CN"/>
        </w:rPr>
      </w:pPr>
      <w:r>
        <w:rPr>
          <w:rFonts w:hint="eastAsia" w:ascii="黑体" w:hAnsi="黑体" w:eastAsia="黑体" w:cs="黑体"/>
          <w:b/>
          <w:bCs/>
          <w:sz w:val="32"/>
          <w:szCs w:val="32"/>
          <w:u w:val="none"/>
          <w:lang w:val="en-US" w:eastAsia="zh-CN"/>
        </w:rPr>
        <w:t xml:space="preserve">第十二部分  </w:t>
      </w:r>
      <w:r>
        <w:rPr>
          <w:rFonts w:hint="eastAsia" w:ascii="黑体" w:hAnsi="黑体" w:eastAsia="黑体" w:cs="黑体"/>
          <w:b w:val="0"/>
          <w:bCs w:val="0"/>
          <w:sz w:val="32"/>
          <w:szCs w:val="32"/>
          <w:u w:val="none"/>
          <w:lang w:val="en-US" w:eastAsia="zh-CN"/>
        </w:rPr>
        <w:t>2024</w:t>
      </w:r>
      <w:r>
        <w:rPr>
          <w:rFonts w:hint="eastAsia" w:ascii="黑体" w:hAnsi="黑体" w:eastAsia="黑体" w:cs="黑体"/>
          <w:b/>
          <w:bCs/>
          <w:sz w:val="32"/>
          <w:szCs w:val="32"/>
          <w:u w:val="none"/>
          <w:lang w:val="en-US" w:eastAsia="zh-CN"/>
        </w:rPr>
        <w:t>年项目支出绩效目标批复表</w:t>
      </w:r>
    </w:p>
    <w:tbl>
      <w:tblPr>
        <w:tblStyle w:val="3"/>
        <w:tblW w:w="8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4"/>
        <w:gridCol w:w="1046"/>
        <w:gridCol w:w="1067"/>
        <w:gridCol w:w="1716"/>
        <w:gridCol w:w="1424"/>
        <w:gridCol w:w="1439"/>
        <w:gridCol w:w="1404"/>
      </w:tblGrid>
      <w:tr w14:paraId="4C1F4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0" w:hRule="atLeast"/>
        </w:trPr>
        <w:tc>
          <w:tcPr>
            <w:tcW w:w="8440" w:type="dxa"/>
            <w:gridSpan w:val="7"/>
            <w:shd w:val="clear" w:color="auto" w:fill="auto"/>
            <w:vAlign w:val="center"/>
          </w:tcPr>
          <w:p w14:paraId="44728987">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项目支出绩效目标批复表</w:t>
            </w:r>
          </w:p>
        </w:tc>
      </w:tr>
      <w:tr w14:paraId="79FB5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 w:hRule="atLeast"/>
        </w:trPr>
        <w:tc>
          <w:tcPr>
            <w:tcW w:w="8440" w:type="dxa"/>
            <w:gridSpan w:val="7"/>
            <w:shd w:val="clear" w:color="auto" w:fill="auto"/>
            <w:vAlign w:val="center"/>
          </w:tcPr>
          <w:p w14:paraId="0770824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14:paraId="52736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 w:hRule="atLeast"/>
        </w:trPr>
        <w:tc>
          <w:tcPr>
            <w:tcW w:w="8440" w:type="dxa"/>
            <w:gridSpan w:val="7"/>
            <w:tcBorders>
              <w:bottom w:val="single" w:color="000000" w:sz="4" w:space="0"/>
            </w:tcBorders>
            <w:shd w:val="clear" w:color="auto" w:fill="auto"/>
            <w:vAlign w:val="center"/>
          </w:tcPr>
          <w:p w14:paraId="48164B59">
            <w:pPr>
              <w:jc w:val="left"/>
              <w:rPr>
                <w:rFonts w:hint="eastAsia" w:ascii="宋体" w:hAnsi="宋体" w:eastAsia="宋体" w:cs="宋体"/>
                <w:i w:val="0"/>
                <w:color w:val="000000"/>
                <w:sz w:val="22"/>
                <w:szCs w:val="22"/>
                <w:u w:val="none"/>
              </w:rPr>
            </w:pPr>
          </w:p>
        </w:tc>
      </w:tr>
      <w:tr w14:paraId="1E42A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7" w:hRule="atLeast"/>
        </w:trPr>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867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7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150A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基本公共卫生服务经费</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D5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项目负责人</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CFB2E">
            <w:pPr>
              <w:jc w:val="center"/>
              <w:rPr>
                <w:rFonts w:hint="eastAsia" w:ascii="宋体" w:hAnsi="宋体" w:eastAsia="宋体" w:cs="宋体"/>
                <w:i w:val="0"/>
                <w:color w:val="000000"/>
                <w:sz w:val="18"/>
                <w:szCs w:val="18"/>
                <w:u w:val="none"/>
              </w:rPr>
            </w:pPr>
          </w:p>
        </w:tc>
      </w:tr>
      <w:tr w14:paraId="65445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4" w:hRule="atLeast"/>
        </w:trPr>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8A08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项目金额</w:t>
            </w:r>
          </w:p>
        </w:tc>
        <w:tc>
          <w:tcPr>
            <w:tcW w:w="27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9BC2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3D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其中：当年市级财政资金</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A1CB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100万</w:t>
            </w:r>
          </w:p>
        </w:tc>
      </w:tr>
      <w:tr w14:paraId="155F6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7" w:hRule="atLeast"/>
        </w:trPr>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23A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项目主管部门</w:t>
            </w:r>
          </w:p>
        </w:tc>
        <w:tc>
          <w:tcPr>
            <w:tcW w:w="27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0C72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黄石市卫生健康委员会</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29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AD74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黄石市卫生健康委员会</w:t>
            </w:r>
          </w:p>
        </w:tc>
      </w:tr>
      <w:tr w14:paraId="6FE7E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7" w:hRule="atLeast"/>
        </w:trPr>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721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项目属性</w:t>
            </w:r>
          </w:p>
        </w:tc>
        <w:tc>
          <w:tcPr>
            <w:tcW w:w="27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D58A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持续性项目■</w:t>
            </w:r>
            <w:r>
              <w:rPr>
                <w:rStyle w:val="7"/>
                <w:lang w:val="en-US" w:eastAsia="zh-CN" w:bidi="ar"/>
              </w:rPr>
              <w:t xml:space="preserve">    新增性项目口</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3A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项目期</w:t>
            </w:r>
          </w:p>
        </w:tc>
        <w:tc>
          <w:tcPr>
            <w:tcW w:w="2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058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w:t>
            </w:r>
          </w:p>
        </w:tc>
      </w:tr>
      <w:tr w14:paraId="2F8AB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88" w:hRule="atLeast"/>
        </w:trPr>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F30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年度绩效目标（文字）</w:t>
            </w:r>
          </w:p>
        </w:tc>
        <w:tc>
          <w:tcPr>
            <w:tcW w:w="70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57EB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1.居民规范化电子健康档案覆盖率≥62%    2.适龄儿童国家免疫规划疫苗接种率≥90%  3.7岁以下儿童健康管理率≥85%           4..0-6岁儿童眼保健和视力检查覆盖率≥90%     5.孕产妇系统管理率≥90%               6.65岁及以上老年人城乡社区规范健康管理服务率</w:t>
            </w:r>
            <w:r>
              <w:rPr>
                <w:rStyle w:val="8"/>
                <w:rFonts w:eastAsia="宋体"/>
                <w:lang w:val="en-US" w:eastAsia="zh-CN" w:bidi="ar"/>
              </w:rPr>
              <w:t>≥</w:t>
            </w:r>
            <w:r>
              <w:rPr>
                <w:rStyle w:val="9"/>
                <w:lang w:val="en-US" w:eastAsia="zh-CN" w:bidi="ar"/>
              </w:rPr>
              <w:t xml:space="preserve">62% 7.高血压患者基层规范管理服务率≥62% 8.2型糖尿病患者基层规范管理服务率≥62%    9.社区在册居家严重精神障碍患者健康管理率≥80%                                                10.肺结核患者管理率≥90%       11.老年人中医药健康管理率≥70%       12.儿童中医药健康管理率≥77%                         13.传染病和突发公共卫生事件报告率≥95%   14.卫生监督协管各专业每年巡查（访）2次完成率≥90%       </w:t>
            </w:r>
          </w:p>
        </w:tc>
      </w:tr>
      <w:tr w14:paraId="4FCA3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5" w:hRule="atLeast"/>
        </w:trPr>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192E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5C1C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394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D85C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2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427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6B1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指标标准或依据</w:t>
            </w:r>
          </w:p>
        </w:tc>
      </w:tr>
      <w:tr w14:paraId="2BE1D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5"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3DC998B">
            <w:pPr>
              <w:jc w:val="center"/>
              <w:rPr>
                <w:rFonts w:hint="eastAsia" w:ascii="宋体" w:hAnsi="宋体" w:eastAsia="宋体" w:cs="宋体"/>
                <w:i w:val="0"/>
                <w:color w:val="000000"/>
                <w:sz w:val="18"/>
                <w:szCs w:val="18"/>
                <w:u w:val="none"/>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863AF">
            <w:pPr>
              <w:jc w:val="center"/>
              <w:rPr>
                <w:rFonts w:hint="eastAsia" w:ascii="宋体" w:hAnsi="宋体" w:eastAsia="宋体" w:cs="宋体"/>
                <w:i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F921F">
            <w:pPr>
              <w:jc w:val="center"/>
              <w:rPr>
                <w:rFonts w:hint="eastAsia" w:ascii="宋体" w:hAnsi="宋体" w:eastAsia="宋体" w:cs="宋体"/>
                <w:i w:val="0"/>
                <w:color w:val="000000"/>
                <w:sz w:val="18"/>
                <w:szCs w:val="18"/>
                <w:u w:val="none"/>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4527C">
            <w:pPr>
              <w:jc w:val="center"/>
              <w:rPr>
                <w:rFonts w:hint="eastAsia" w:ascii="宋体" w:hAnsi="宋体" w:eastAsia="宋体" w:cs="宋体"/>
                <w:i w:val="0"/>
                <w:color w:val="000000"/>
                <w:sz w:val="18"/>
                <w:szCs w:val="18"/>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80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2023年实际实现值</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2A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预期2024年实现值</w:t>
            </w:r>
          </w:p>
        </w:tc>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E141C">
            <w:pPr>
              <w:jc w:val="center"/>
              <w:rPr>
                <w:rFonts w:hint="eastAsia" w:ascii="宋体" w:hAnsi="宋体" w:eastAsia="宋体" w:cs="宋体"/>
                <w:i w:val="0"/>
                <w:color w:val="000000"/>
                <w:sz w:val="18"/>
                <w:szCs w:val="18"/>
                <w:u w:val="none"/>
              </w:rPr>
            </w:pPr>
          </w:p>
        </w:tc>
      </w:tr>
      <w:tr w14:paraId="67981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5"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8202CCF">
            <w:pPr>
              <w:jc w:val="center"/>
              <w:rPr>
                <w:rFonts w:hint="eastAsia" w:ascii="宋体" w:hAnsi="宋体" w:eastAsia="宋体" w:cs="宋体"/>
                <w:i w:val="0"/>
                <w:color w:val="000000"/>
                <w:sz w:val="18"/>
                <w:szCs w:val="18"/>
                <w:u w:val="none"/>
              </w:rPr>
            </w:pPr>
          </w:p>
        </w:tc>
        <w:tc>
          <w:tcPr>
            <w:tcW w:w="1046" w:type="dxa"/>
            <w:vMerge w:val="restart"/>
            <w:tcBorders>
              <w:top w:val="single" w:color="000000" w:sz="4" w:space="0"/>
              <w:left w:val="single" w:color="000000" w:sz="4" w:space="0"/>
              <w:right w:val="single" w:color="000000" w:sz="4" w:space="0"/>
            </w:tcBorders>
            <w:shd w:val="clear" w:color="auto" w:fill="auto"/>
            <w:vAlign w:val="center"/>
          </w:tcPr>
          <w:p w14:paraId="1D4C91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2F42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1C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服务人口</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940E">
            <w:pPr>
              <w:jc w:val="center"/>
              <w:rPr>
                <w:rFonts w:hint="eastAsia" w:ascii="宋体" w:hAnsi="宋体" w:eastAsia="宋体" w:cs="宋体"/>
                <w:i w:val="0"/>
                <w:color w:val="000000"/>
                <w:sz w:val="18"/>
                <w:szCs w:val="18"/>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E270">
            <w:pPr>
              <w:keepNext w:val="0"/>
              <w:keepLines w:val="0"/>
              <w:widowControl/>
              <w:suppressLineNumbers w:val="0"/>
              <w:jc w:val="center"/>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91.29</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128C">
            <w:pPr>
              <w:jc w:val="center"/>
              <w:rPr>
                <w:rFonts w:hint="eastAsia" w:ascii="宋体" w:hAnsi="宋体" w:eastAsia="宋体" w:cs="宋体"/>
                <w:i w:val="0"/>
                <w:color w:val="000000"/>
                <w:sz w:val="18"/>
                <w:szCs w:val="18"/>
                <w:u w:val="none"/>
              </w:rPr>
            </w:pPr>
          </w:p>
        </w:tc>
      </w:tr>
      <w:tr w14:paraId="1EDB7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4"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AD40451">
            <w:pPr>
              <w:jc w:val="center"/>
              <w:rPr>
                <w:rFonts w:hint="eastAsia" w:ascii="宋体" w:hAnsi="宋体" w:eastAsia="宋体" w:cs="宋体"/>
                <w:i w:val="0"/>
                <w:color w:val="000000"/>
                <w:sz w:val="18"/>
                <w:szCs w:val="18"/>
                <w:u w:val="none"/>
              </w:rPr>
            </w:pPr>
          </w:p>
        </w:tc>
        <w:tc>
          <w:tcPr>
            <w:tcW w:w="1046" w:type="dxa"/>
            <w:vMerge w:val="continue"/>
            <w:tcBorders>
              <w:top w:val="single" w:color="000000" w:sz="4" w:space="0"/>
              <w:left w:val="single" w:color="000000" w:sz="4" w:space="0"/>
              <w:right w:val="single" w:color="000000" w:sz="4" w:space="0"/>
            </w:tcBorders>
            <w:shd w:val="clear" w:color="auto" w:fill="auto"/>
            <w:vAlign w:val="center"/>
          </w:tcPr>
          <w:p w14:paraId="128AFACD">
            <w:pPr>
              <w:jc w:val="center"/>
              <w:rPr>
                <w:rFonts w:hint="eastAsia" w:ascii="宋体" w:hAnsi="宋体" w:eastAsia="宋体" w:cs="宋体"/>
                <w:i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090B4">
            <w:pPr>
              <w:jc w:val="center"/>
              <w:rPr>
                <w:rFonts w:hint="eastAsia" w:ascii="宋体" w:hAnsi="宋体" w:eastAsia="宋体" w:cs="宋体"/>
                <w:i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BD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适龄儿童国家免疫规划疫苗接种率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3774">
            <w:pPr>
              <w:jc w:val="center"/>
              <w:rPr>
                <w:rFonts w:hint="eastAsia" w:ascii="宋体" w:hAnsi="宋体" w:eastAsia="宋体" w:cs="宋体"/>
                <w:i w:val="0"/>
                <w:color w:val="000000"/>
                <w:sz w:val="18"/>
                <w:szCs w:val="18"/>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9068">
            <w:pPr>
              <w:keepNext w:val="0"/>
              <w:keepLines w:val="0"/>
              <w:widowControl/>
              <w:suppressLineNumbers w:val="0"/>
              <w:jc w:val="center"/>
              <w:textAlignment w:val="center"/>
              <w:rPr>
                <w:rFonts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90%以上</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6AF9">
            <w:pPr>
              <w:jc w:val="center"/>
              <w:rPr>
                <w:rFonts w:hint="eastAsia" w:ascii="宋体" w:hAnsi="宋体" w:eastAsia="宋体" w:cs="宋体"/>
                <w:i w:val="0"/>
                <w:color w:val="000000"/>
                <w:sz w:val="18"/>
                <w:szCs w:val="18"/>
                <w:u w:val="none"/>
              </w:rPr>
            </w:pPr>
          </w:p>
        </w:tc>
      </w:tr>
      <w:tr w14:paraId="573C6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0ED2D67">
            <w:pPr>
              <w:jc w:val="center"/>
              <w:rPr>
                <w:rFonts w:hint="eastAsia" w:ascii="宋体" w:hAnsi="宋体" w:eastAsia="宋体" w:cs="宋体"/>
                <w:i w:val="0"/>
                <w:color w:val="000000"/>
                <w:sz w:val="18"/>
                <w:szCs w:val="18"/>
                <w:u w:val="none"/>
              </w:rPr>
            </w:pPr>
          </w:p>
        </w:tc>
        <w:tc>
          <w:tcPr>
            <w:tcW w:w="1046" w:type="dxa"/>
            <w:vMerge w:val="continue"/>
            <w:tcBorders>
              <w:top w:val="single" w:color="000000" w:sz="4" w:space="0"/>
              <w:left w:val="single" w:color="000000" w:sz="4" w:space="0"/>
              <w:right w:val="single" w:color="000000" w:sz="4" w:space="0"/>
            </w:tcBorders>
            <w:shd w:val="clear" w:color="auto" w:fill="auto"/>
            <w:vAlign w:val="center"/>
          </w:tcPr>
          <w:p w14:paraId="43BD9D44">
            <w:pPr>
              <w:jc w:val="center"/>
              <w:rPr>
                <w:rFonts w:hint="eastAsia" w:ascii="宋体" w:hAnsi="宋体" w:eastAsia="宋体" w:cs="宋体"/>
                <w:i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32C44">
            <w:pPr>
              <w:jc w:val="center"/>
              <w:rPr>
                <w:rFonts w:hint="eastAsia" w:ascii="宋体" w:hAnsi="宋体" w:eastAsia="宋体" w:cs="宋体"/>
                <w:i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28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7岁以下儿童健康管理率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3E78">
            <w:pPr>
              <w:jc w:val="center"/>
              <w:rPr>
                <w:rFonts w:hint="eastAsia" w:ascii="宋体" w:hAnsi="宋体" w:eastAsia="宋体" w:cs="宋体"/>
                <w:i w:val="0"/>
                <w:color w:val="000000"/>
                <w:sz w:val="18"/>
                <w:szCs w:val="18"/>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0335">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85%以上</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6B9B">
            <w:pPr>
              <w:jc w:val="center"/>
              <w:rPr>
                <w:rFonts w:hint="eastAsia" w:ascii="宋体" w:hAnsi="宋体" w:eastAsia="宋体" w:cs="宋体"/>
                <w:i w:val="0"/>
                <w:color w:val="000000"/>
                <w:sz w:val="18"/>
                <w:szCs w:val="18"/>
                <w:u w:val="none"/>
              </w:rPr>
            </w:pPr>
          </w:p>
        </w:tc>
      </w:tr>
      <w:tr w14:paraId="30C8A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7"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7F9FDFA">
            <w:pPr>
              <w:jc w:val="center"/>
              <w:rPr>
                <w:rFonts w:hint="eastAsia" w:ascii="宋体" w:hAnsi="宋体" w:eastAsia="宋体" w:cs="宋体"/>
                <w:i w:val="0"/>
                <w:color w:val="000000"/>
                <w:sz w:val="18"/>
                <w:szCs w:val="18"/>
                <w:u w:val="none"/>
              </w:rPr>
            </w:pPr>
          </w:p>
        </w:tc>
        <w:tc>
          <w:tcPr>
            <w:tcW w:w="1046" w:type="dxa"/>
            <w:vMerge w:val="continue"/>
            <w:tcBorders>
              <w:top w:val="single" w:color="000000" w:sz="4" w:space="0"/>
              <w:left w:val="single" w:color="000000" w:sz="4" w:space="0"/>
              <w:right w:val="single" w:color="000000" w:sz="4" w:space="0"/>
            </w:tcBorders>
            <w:shd w:val="clear" w:color="auto" w:fill="auto"/>
            <w:vAlign w:val="center"/>
          </w:tcPr>
          <w:p w14:paraId="4C41C283">
            <w:pPr>
              <w:jc w:val="center"/>
              <w:rPr>
                <w:rFonts w:hint="eastAsia" w:ascii="宋体" w:hAnsi="宋体" w:eastAsia="宋体" w:cs="宋体"/>
                <w:i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D42C8">
            <w:pPr>
              <w:jc w:val="center"/>
              <w:rPr>
                <w:rFonts w:hint="eastAsia" w:ascii="宋体" w:hAnsi="宋体" w:eastAsia="宋体" w:cs="宋体"/>
                <w:i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8115">
            <w:pPr>
              <w:jc w:val="center"/>
              <w:rPr>
                <w:rFonts w:hint="eastAsia" w:ascii="宋体" w:hAnsi="宋体" w:eastAsia="宋体" w:cs="宋体"/>
                <w:i w:val="0"/>
                <w:color w:val="000000"/>
                <w:sz w:val="18"/>
                <w:szCs w:val="18"/>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AD66">
            <w:pPr>
              <w:jc w:val="center"/>
              <w:rPr>
                <w:rFonts w:hint="eastAsia" w:ascii="宋体" w:hAnsi="宋体" w:eastAsia="宋体" w:cs="宋体"/>
                <w:i w:val="0"/>
                <w:color w:val="000000"/>
                <w:sz w:val="18"/>
                <w:szCs w:val="18"/>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45C3">
            <w:pPr>
              <w:jc w:val="center"/>
              <w:rPr>
                <w:rFonts w:hint="default" w:ascii="仿宋_GB2312" w:hAnsi="宋体" w:eastAsia="仿宋_GB2312" w:cs="仿宋_GB2312"/>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4F9B8">
            <w:pPr>
              <w:jc w:val="center"/>
              <w:rPr>
                <w:rFonts w:hint="eastAsia" w:ascii="宋体" w:hAnsi="宋体" w:eastAsia="宋体" w:cs="宋体"/>
                <w:i w:val="0"/>
                <w:color w:val="000000"/>
                <w:sz w:val="18"/>
                <w:szCs w:val="18"/>
                <w:u w:val="none"/>
              </w:rPr>
            </w:pPr>
          </w:p>
        </w:tc>
      </w:tr>
      <w:tr w14:paraId="086D3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4"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6A62186">
            <w:pPr>
              <w:jc w:val="center"/>
              <w:rPr>
                <w:rFonts w:hint="eastAsia" w:ascii="宋体" w:hAnsi="宋体" w:eastAsia="宋体" w:cs="宋体"/>
                <w:i w:val="0"/>
                <w:color w:val="000000"/>
                <w:sz w:val="18"/>
                <w:szCs w:val="18"/>
                <w:u w:val="none"/>
              </w:rPr>
            </w:pPr>
          </w:p>
        </w:tc>
        <w:tc>
          <w:tcPr>
            <w:tcW w:w="1046" w:type="dxa"/>
            <w:vMerge w:val="continue"/>
            <w:tcBorders>
              <w:top w:val="single" w:color="000000" w:sz="4" w:space="0"/>
              <w:left w:val="single" w:color="000000" w:sz="4" w:space="0"/>
              <w:right w:val="single" w:color="000000" w:sz="4" w:space="0"/>
            </w:tcBorders>
            <w:shd w:val="clear" w:color="auto" w:fill="auto"/>
            <w:vAlign w:val="center"/>
          </w:tcPr>
          <w:p w14:paraId="182CF583">
            <w:pPr>
              <w:jc w:val="center"/>
              <w:rPr>
                <w:rFonts w:hint="eastAsia" w:ascii="宋体" w:hAnsi="宋体" w:eastAsia="宋体" w:cs="宋体"/>
                <w:i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C0682">
            <w:pPr>
              <w:jc w:val="center"/>
              <w:rPr>
                <w:rFonts w:hint="eastAsia" w:ascii="宋体" w:hAnsi="宋体" w:eastAsia="宋体" w:cs="宋体"/>
                <w:i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E3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0-6岁儿童眼保健和视力检查覆盖率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BFB7">
            <w:pPr>
              <w:jc w:val="center"/>
              <w:rPr>
                <w:rFonts w:hint="eastAsia" w:ascii="宋体" w:hAnsi="宋体" w:eastAsia="宋体" w:cs="宋体"/>
                <w:i w:val="0"/>
                <w:color w:val="000000"/>
                <w:sz w:val="18"/>
                <w:szCs w:val="18"/>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C57BB">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90%以上</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E3E9">
            <w:pPr>
              <w:jc w:val="center"/>
              <w:rPr>
                <w:rFonts w:hint="eastAsia" w:ascii="宋体" w:hAnsi="宋体" w:eastAsia="宋体" w:cs="宋体"/>
                <w:i w:val="0"/>
                <w:color w:val="000000"/>
                <w:sz w:val="18"/>
                <w:szCs w:val="18"/>
                <w:u w:val="none"/>
              </w:rPr>
            </w:pPr>
          </w:p>
        </w:tc>
      </w:tr>
      <w:tr w14:paraId="7660B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7"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B16CF02">
            <w:pPr>
              <w:jc w:val="center"/>
              <w:rPr>
                <w:rFonts w:hint="eastAsia" w:ascii="宋体" w:hAnsi="宋体" w:eastAsia="宋体" w:cs="宋体"/>
                <w:i w:val="0"/>
                <w:color w:val="000000"/>
                <w:sz w:val="18"/>
                <w:szCs w:val="18"/>
                <w:u w:val="none"/>
              </w:rPr>
            </w:pPr>
          </w:p>
        </w:tc>
        <w:tc>
          <w:tcPr>
            <w:tcW w:w="1046" w:type="dxa"/>
            <w:vMerge w:val="continue"/>
            <w:tcBorders>
              <w:top w:val="single" w:color="000000" w:sz="4" w:space="0"/>
              <w:left w:val="single" w:color="000000" w:sz="4" w:space="0"/>
              <w:right w:val="single" w:color="000000" w:sz="4" w:space="0"/>
            </w:tcBorders>
            <w:shd w:val="clear" w:color="auto" w:fill="auto"/>
            <w:vAlign w:val="center"/>
          </w:tcPr>
          <w:p w14:paraId="40164210">
            <w:pPr>
              <w:jc w:val="center"/>
              <w:rPr>
                <w:rFonts w:hint="eastAsia" w:ascii="宋体" w:hAnsi="宋体" w:eastAsia="宋体" w:cs="宋体"/>
                <w:i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5FD6D">
            <w:pPr>
              <w:jc w:val="center"/>
              <w:rPr>
                <w:rFonts w:hint="eastAsia" w:ascii="宋体" w:hAnsi="宋体" w:eastAsia="宋体" w:cs="宋体"/>
                <w:i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F3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孕产妇系统管理率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9328">
            <w:pPr>
              <w:jc w:val="center"/>
              <w:rPr>
                <w:rFonts w:hint="eastAsia" w:ascii="宋体" w:hAnsi="宋体" w:eastAsia="宋体" w:cs="宋体"/>
                <w:i w:val="0"/>
                <w:color w:val="000000"/>
                <w:sz w:val="18"/>
                <w:szCs w:val="18"/>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E312">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90%以上</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EF06">
            <w:pPr>
              <w:jc w:val="center"/>
              <w:rPr>
                <w:rFonts w:hint="eastAsia" w:ascii="宋体" w:hAnsi="宋体" w:eastAsia="宋体" w:cs="宋体"/>
                <w:i w:val="0"/>
                <w:color w:val="000000"/>
                <w:sz w:val="18"/>
                <w:szCs w:val="18"/>
                <w:u w:val="none"/>
              </w:rPr>
            </w:pPr>
          </w:p>
        </w:tc>
      </w:tr>
      <w:tr w14:paraId="7273B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7"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9F9F54A">
            <w:pPr>
              <w:jc w:val="center"/>
              <w:rPr>
                <w:rFonts w:hint="eastAsia" w:ascii="宋体" w:hAnsi="宋体" w:eastAsia="宋体" w:cs="宋体"/>
                <w:i w:val="0"/>
                <w:color w:val="000000"/>
                <w:sz w:val="18"/>
                <w:szCs w:val="18"/>
                <w:u w:val="none"/>
              </w:rPr>
            </w:pPr>
          </w:p>
        </w:tc>
        <w:tc>
          <w:tcPr>
            <w:tcW w:w="1046" w:type="dxa"/>
            <w:vMerge w:val="continue"/>
            <w:tcBorders>
              <w:top w:val="single" w:color="000000" w:sz="4" w:space="0"/>
              <w:left w:val="single" w:color="000000" w:sz="4" w:space="0"/>
              <w:right w:val="single" w:color="000000" w:sz="4" w:space="0"/>
            </w:tcBorders>
            <w:shd w:val="clear" w:color="auto" w:fill="auto"/>
            <w:vAlign w:val="center"/>
          </w:tcPr>
          <w:p w14:paraId="5B3514A8">
            <w:pPr>
              <w:jc w:val="center"/>
              <w:rPr>
                <w:rFonts w:hint="eastAsia" w:ascii="宋体" w:hAnsi="宋体" w:eastAsia="宋体" w:cs="宋体"/>
                <w:i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DD781">
            <w:pPr>
              <w:jc w:val="center"/>
              <w:rPr>
                <w:rFonts w:hint="eastAsia" w:ascii="宋体" w:hAnsi="宋体" w:eastAsia="宋体" w:cs="宋体"/>
                <w:i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10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肺结核患者管理率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6B37">
            <w:pPr>
              <w:jc w:val="center"/>
              <w:rPr>
                <w:rFonts w:hint="eastAsia" w:ascii="宋体" w:hAnsi="宋体" w:eastAsia="宋体" w:cs="宋体"/>
                <w:i w:val="0"/>
                <w:color w:val="000000"/>
                <w:sz w:val="18"/>
                <w:szCs w:val="18"/>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E9F9">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90%以上</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4E7D">
            <w:pPr>
              <w:jc w:val="center"/>
              <w:rPr>
                <w:rFonts w:hint="eastAsia" w:ascii="宋体" w:hAnsi="宋体" w:eastAsia="宋体" w:cs="宋体"/>
                <w:i w:val="0"/>
                <w:color w:val="000000"/>
                <w:sz w:val="18"/>
                <w:szCs w:val="18"/>
                <w:u w:val="none"/>
              </w:rPr>
            </w:pPr>
          </w:p>
        </w:tc>
      </w:tr>
      <w:tr w14:paraId="71E48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1"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F26D244">
            <w:pPr>
              <w:jc w:val="center"/>
              <w:rPr>
                <w:rFonts w:hint="eastAsia" w:ascii="宋体" w:hAnsi="宋体" w:eastAsia="宋体" w:cs="宋体"/>
                <w:i w:val="0"/>
                <w:color w:val="000000"/>
                <w:sz w:val="18"/>
                <w:szCs w:val="18"/>
                <w:u w:val="none"/>
              </w:rPr>
            </w:pPr>
          </w:p>
        </w:tc>
        <w:tc>
          <w:tcPr>
            <w:tcW w:w="1046" w:type="dxa"/>
            <w:vMerge w:val="continue"/>
            <w:tcBorders>
              <w:top w:val="single" w:color="000000" w:sz="4" w:space="0"/>
              <w:left w:val="single" w:color="000000" w:sz="4" w:space="0"/>
              <w:right w:val="single" w:color="000000" w:sz="4" w:space="0"/>
            </w:tcBorders>
            <w:shd w:val="clear" w:color="auto" w:fill="auto"/>
            <w:vAlign w:val="center"/>
          </w:tcPr>
          <w:p w14:paraId="0008E55E">
            <w:pPr>
              <w:jc w:val="center"/>
              <w:rPr>
                <w:rFonts w:hint="eastAsia" w:ascii="宋体" w:hAnsi="宋体" w:eastAsia="宋体" w:cs="宋体"/>
                <w:i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F28B6">
            <w:pPr>
              <w:jc w:val="center"/>
              <w:rPr>
                <w:rFonts w:hint="eastAsia" w:ascii="宋体" w:hAnsi="宋体" w:eastAsia="宋体" w:cs="宋体"/>
                <w:i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ED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社区在册居家严重精神障碍患者健康管理率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5570">
            <w:pPr>
              <w:jc w:val="center"/>
              <w:rPr>
                <w:rFonts w:hint="eastAsia" w:ascii="宋体" w:hAnsi="宋体" w:eastAsia="宋体" w:cs="宋体"/>
                <w:i w:val="0"/>
                <w:color w:val="000000"/>
                <w:sz w:val="18"/>
                <w:szCs w:val="18"/>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FAF8">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90%以上</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FF98">
            <w:pPr>
              <w:jc w:val="center"/>
              <w:rPr>
                <w:rFonts w:hint="eastAsia" w:ascii="宋体" w:hAnsi="宋体" w:eastAsia="宋体" w:cs="宋体"/>
                <w:i w:val="0"/>
                <w:color w:val="000000"/>
                <w:sz w:val="18"/>
                <w:szCs w:val="18"/>
                <w:u w:val="none"/>
              </w:rPr>
            </w:pPr>
          </w:p>
        </w:tc>
      </w:tr>
      <w:tr w14:paraId="54882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6077111">
            <w:pPr>
              <w:jc w:val="center"/>
              <w:rPr>
                <w:rFonts w:hint="eastAsia" w:ascii="宋体" w:hAnsi="宋体" w:eastAsia="宋体" w:cs="宋体"/>
                <w:i w:val="0"/>
                <w:color w:val="000000"/>
                <w:sz w:val="18"/>
                <w:szCs w:val="18"/>
                <w:u w:val="none"/>
              </w:rPr>
            </w:pPr>
          </w:p>
        </w:tc>
        <w:tc>
          <w:tcPr>
            <w:tcW w:w="1046" w:type="dxa"/>
            <w:vMerge w:val="continue"/>
            <w:tcBorders>
              <w:top w:val="single" w:color="000000" w:sz="4" w:space="0"/>
              <w:left w:val="single" w:color="000000" w:sz="4" w:space="0"/>
              <w:right w:val="single" w:color="000000" w:sz="4" w:space="0"/>
            </w:tcBorders>
            <w:shd w:val="clear" w:color="auto" w:fill="auto"/>
            <w:vAlign w:val="center"/>
          </w:tcPr>
          <w:p w14:paraId="250B9C10">
            <w:pPr>
              <w:jc w:val="center"/>
              <w:rPr>
                <w:rFonts w:hint="eastAsia" w:ascii="宋体" w:hAnsi="宋体" w:eastAsia="宋体" w:cs="宋体"/>
                <w:i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328E7">
            <w:pPr>
              <w:jc w:val="center"/>
              <w:rPr>
                <w:rFonts w:hint="eastAsia" w:ascii="宋体" w:hAnsi="宋体" w:eastAsia="宋体" w:cs="宋体"/>
                <w:i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CF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老年人中医药健康管理率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BBBF">
            <w:pPr>
              <w:jc w:val="center"/>
              <w:rPr>
                <w:rFonts w:hint="eastAsia" w:ascii="宋体" w:hAnsi="宋体" w:eastAsia="宋体" w:cs="宋体"/>
                <w:i w:val="0"/>
                <w:color w:val="000000"/>
                <w:sz w:val="18"/>
                <w:szCs w:val="18"/>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AA70">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70%以上</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6396">
            <w:pPr>
              <w:jc w:val="center"/>
              <w:rPr>
                <w:rFonts w:hint="eastAsia" w:ascii="宋体" w:hAnsi="宋体" w:eastAsia="宋体" w:cs="宋体"/>
                <w:i w:val="0"/>
                <w:color w:val="000000"/>
                <w:sz w:val="18"/>
                <w:szCs w:val="18"/>
                <w:u w:val="none"/>
              </w:rPr>
            </w:pPr>
          </w:p>
        </w:tc>
      </w:tr>
      <w:tr w14:paraId="77282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4DA5206">
            <w:pPr>
              <w:jc w:val="center"/>
              <w:rPr>
                <w:rFonts w:hint="eastAsia" w:ascii="宋体" w:hAnsi="宋体" w:eastAsia="宋体" w:cs="宋体"/>
                <w:i w:val="0"/>
                <w:color w:val="000000"/>
                <w:sz w:val="18"/>
                <w:szCs w:val="18"/>
                <w:u w:val="none"/>
              </w:rPr>
            </w:pPr>
          </w:p>
        </w:tc>
        <w:tc>
          <w:tcPr>
            <w:tcW w:w="1046" w:type="dxa"/>
            <w:vMerge w:val="continue"/>
            <w:tcBorders>
              <w:top w:val="single" w:color="000000" w:sz="4" w:space="0"/>
              <w:left w:val="single" w:color="000000" w:sz="4" w:space="0"/>
              <w:right w:val="single" w:color="000000" w:sz="4" w:space="0"/>
            </w:tcBorders>
            <w:shd w:val="clear" w:color="auto" w:fill="auto"/>
            <w:vAlign w:val="center"/>
          </w:tcPr>
          <w:p w14:paraId="2AA813BC">
            <w:pPr>
              <w:jc w:val="center"/>
              <w:rPr>
                <w:rFonts w:hint="eastAsia" w:ascii="宋体" w:hAnsi="宋体" w:eastAsia="宋体" w:cs="宋体"/>
                <w:i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9AF8C">
            <w:pPr>
              <w:jc w:val="center"/>
              <w:rPr>
                <w:rFonts w:hint="eastAsia" w:ascii="宋体" w:hAnsi="宋体" w:eastAsia="宋体" w:cs="宋体"/>
                <w:i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07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儿童中医药健康管理率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15AD">
            <w:pPr>
              <w:jc w:val="center"/>
              <w:rPr>
                <w:rFonts w:hint="eastAsia" w:ascii="宋体" w:hAnsi="宋体" w:eastAsia="宋体" w:cs="宋体"/>
                <w:i w:val="0"/>
                <w:color w:val="000000"/>
                <w:sz w:val="18"/>
                <w:szCs w:val="18"/>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780E">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77%以上</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2082">
            <w:pPr>
              <w:jc w:val="center"/>
              <w:rPr>
                <w:rFonts w:hint="eastAsia" w:ascii="宋体" w:hAnsi="宋体" w:eastAsia="宋体" w:cs="宋体"/>
                <w:i w:val="0"/>
                <w:color w:val="000000"/>
                <w:sz w:val="18"/>
                <w:szCs w:val="18"/>
                <w:u w:val="none"/>
              </w:rPr>
            </w:pPr>
          </w:p>
        </w:tc>
      </w:tr>
      <w:tr w14:paraId="11184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1"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8454676">
            <w:pPr>
              <w:jc w:val="center"/>
              <w:rPr>
                <w:rFonts w:hint="eastAsia" w:ascii="宋体" w:hAnsi="宋体" w:eastAsia="宋体" w:cs="宋体"/>
                <w:i w:val="0"/>
                <w:color w:val="000000"/>
                <w:sz w:val="18"/>
                <w:szCs w:val="18"/>
                <w:u w:val="none"/>
              </w:rPr>
            </w:pPr>
          </w:p>
        </w:tc>
        <w:tc>
          <w:tcPr>
            <w:tcW w:w="1046" w:type="dxa"/>
            <w:vMerge w:val="continue"/>
            <w:tcBorders>
              <w:top w:val="single" w:color="000000" w:sz="4" w:space="0"/>
              <w:left w:val="single" w:color="000000" w:sz="4" w:space="0"/>
              <w:right w:val="single" w:color="000000" w:sz="4" w:space="0"/>
            </w:tcBorders>
            <w:shd w:val="clear" w:color="auto" w:fill="auto"/>
            <w:vAlign w:val="center"/>
          </w:tcPr>
          <w:p w14:paraId="19F11E34">
            <w:pPr>
              <w:jc w:val="center"/>
              <w:rPr>
                <w:rFonts w:hint="eastAsia" w:ascii="宋体" w:hAnsi="宋体" w:eastAsia="宋体" w:cs="宋体"/>
                <w:i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01DCE">
            <w:pPr>
              <w:jc w:val="center"/>
              <w:rPr>
                <w:rFonts w:hint="eastAsia" w:ascii="宋体" w:hAnsi="宋体" w:eastAsia="宋体" w:cs="宋体"/>
                <w:i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44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卫生监督协管各专业每年巡查（访）2次完成率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B299">
            <w:pPr>
              <w:jc w:val="center"/>
              <w:rPr>
                <w:rFonts w:hint="eastAsia" w:ascii="宋体" w:hAnsi="宋体" w:eastAsia="宋体" w:cs="宋体"/>
                <w:i w:val="0"/>
                <w:color w:val="000000"/>
                <w:sz w:val="18"/>
                <w:szCs w:val="18"/>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25C0">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90%以上</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CA11">
            <w:pPr>
              <w:jc w:val="center"/>
              <w:rPr>
                <w:rFonts w:hint="eastAsia" w:ascii="宋体" w:hAnsi="宋体" w:eastAsia="宋体" w:cs="宋体"/>
                <w:i w:val="0"/>
                <w:color w:val="000000"/>
                <w:sz w:val="18"/>
                <w:szCs w:val="18"/>
                <w:u w:val="none"/>
              </w:rPr>
            </w:pPr>
          </w:p>
        </w:tc>
      </w:tr>
      <w:tr w14:paraId="43AD3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4"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EB14BF2">
            <w:pPr>
              <w:jc w:val="center"/>
              <w:rPr>
                <w:rFonts w:hint="eastAsia" w:ascii="宋体" w:hAnsi="宋体" w:eastAsia="宋体" w:cs="宋体"/>
                <w:i w:val="0"/>
                <w:color w:val="000000"/>
                <w:sz w:val="18"/>
                <w:szCs w:val="18"/>
                <w:u w:val="none"/>
              </w:rPr>
            </w:pPr>
          </w:p>
        </w:tc>
        <w:tc>
          <w:tcPr>
            <w:tcW w:w="1046" w:type="dxa"/>
            <w:vMerge w:val="continue"/>
            <w:tcBorders>
              <w:top w:val="single" w:color="000000" w:sz="4" w:space="0"/>
              <w:left w:val="single" w:color="000000" w:sz="4" w:space="0"/>
              <w:right w:val="single" w:color="000000" w:sz="4" w:space="0"/>
            </w:tcBorders>
            <w:shd w:val="clear" w:color="auto" w:fill="auto"/>
            <w:vAlign w:val="center"/>
          </w:tcPr>
          <w:p w14:paraId="06DDE4AA">
            <w:pPr>
              <w:jc w:val="center"/>
              <w:rPr>
                <w:rFonts w:hint="eastAsia" w:ascii="宋体" w:hAnsi="宋体" w:eastAsia="宋体" w:cs="宋体"/>
                <w:i w:val="0"/>
                <w:color w:val="000000"/>
                <w:sz w:val="18"/>
                <w:szCs w:val="18"/>
                <w:u w:val="none"/>
              </w:rPr>
            </w:pP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3C71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82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居民规范化电子健康档案覆盖率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91AA">
            <w:pPr>
              <w:jc w:val="center"/>
              <w:rPr>
                <w:rFonts w:hint="eastAsia" w:ascii="宋体" w:hAnsi="宋体" w:eastAsia="宋体" w:cs="宋体"/>
                <w:i w:val="0"/>
                <w:color w:val="000000"/>
                <w:sz w:val="18"/>
                <w:szCs w:val="18"/>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6AB6">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62%以上</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C77F">
            <w:pPr>
              <w:jc w:val="center"/>
              <w:rPr>
                <w:rFonts w:hint="eastAsia" w:ascii="宋体" w:hAnsi="宋体" w:eastAsia="宋体" w:cs="宋体"/>
                <w:i w:val="0"/>
                <w:color w:val="000000"/>
                <w:sz w:val="18"/>
                <w:szCs w:val="18"/>
                <w:u w:val="none"/>
              </w:rPr>
            </w:pPr>
          </w:p>
        </w:tc>
      </w:tr>
      <w:tr w14:paraId="0A261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1"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6E3E320">
            <w:pPr>
              <w:jc w:val="center"/>
              <w:rPr>
                <w:rFonts w:hint="eastAsia" w:ascii="宋体" w:hAnsi="宋体" w:eastAsia="宋体" w:cs="宋体"/>
                <w:i w:val="0"/>
                <w:color w:val="000000"/>
                <w:sz w:val="18"/>
                <w:szCs w:val="18"/>
                <w:u w:val="none"/>
              </w:rPr>
            </w:pPr>
          </w:p>
        </w:tc>
        <w:tc>
          <w:tcPr>
            <w:tcW w:w="1046" w:type="dxa"/>
            <w:vMerge w:val="continue"/>
            <w:tcBorders>
              <w:top w:val="single" w:color="000000" w:sz="4" w:space="0"/>
              <w:left w:val="single" w:color="000000" w:sz="4" w:space="0"/>
              <w:right w:val="single" w:color="000000" w:sz="4" w:space="0"/>
            </w:tcBorders>
            <w:shd w:val="clear" w:color="auto" w:fill="auto"/>
            <w:vAlign w:val="center"/>
          </w:tcPr>
          <w:p w14:paraId="302768C7">
            <w:pPr>
              <w:jc w:val="center"/>
              <w:rPr>
                <w:rFonts w:hint="eastAsia" w:ascii="宋体" w:hAnsi="宋体" w:eastAsia="宋体" w:cs="宋体"/>
                <w:i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053FE">
            <w:pPr>
              <w:jc w:val="center"/>
              <w:rPr>
                <w:rFonts w:hint="eastAsia" w:ascii="宋体" w:hAnsi="宋体" w:eastAsia="宋体" w:cs="宋体"/>
                <w:i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65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65岁及以上老年人城乡社区规范健康管理服务率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AF49">
            <w:pPr>
              <w:jc w:val="center"/>
              <w:rPr>
                <w:rFonts w:hint="eastAsia" w:ascii="宋体" w:hAnsi="宋体" w:eastAsia="宋体" w:cs="宋体"/>
                <w:i w:val="0"/>
                <w:color w:val="000000"/>
                <w:sz w:val="18"/>
                <w:szCs w:val="18"/>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74CF">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62%以上</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0AA1">
            <w:pPr>
              <w:jc w:val="center"/>
              <w:rPr>
                <w:rFonts w:hint="eastAsia" w:ascii="宋体" w:hAnsi="宋体" w:eastAsia="宋体" w:cs="宋体"/>
                <w:i w:val="0"/>
                <w:color w:val="000000"/>
                <w:sz w:val="18"/>
                <w:szCs w:val="18"/>
                <w:u w:val="none"/>
              </w:rPr>
            </w:pPr>
          </w:p>
        </w:tc>
      </w:tr>
      <w:tr w14:paraId="4EF64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4"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334A4C7">
            <w:pPr>
              <w:jc w:val="center"/>
              <w:rPr>
                <w:rFonts w:hint="eastAsia" w:ascii="宋体" w:hAnsi="宋体" w:eastAsia="宋体" w:cs="宋体"/>
                <w:i w:val="0"/>
                <w:color w:val="000000"/>
                <w:sz w:val="18"/>
                <w:szCs w:val="18"/>
                <w:u w:val="none"/>
              </w:rPr>
            </w:pPr>
          </w:p>
        </w:tc>
        <w:tc>
          <w:tcPr>
            <w:tcW w:w="1046" w:type="dxa"/>
            <w:vMerge w:val="continue"/>
            <w:tcBorders>
              <w:top w:val="single" w:color="000000" w:sz="4" w:space="0"/>
              <w:left w:val="single" w:color="000000" w:sz="4" w:space="0"/>
              <w:right w:val="single" w:color="000000" w:sz="4" w:space="0"/>
            </w:tcBorders>
            <w:shd w:val="clear" w:color="auto" w:fill="auto"/>
            <w:vAlign w:val="center"/>
          </w:tcPr>
          <w:p w14:paraId="2F423149">
            <w:pPr>
              <w:jc w:val="center"/>
              <w:rPr>
                <w:rFonts w:hint="eastAsia" w:ascii="宋体" w:hAnsi="宋体" w:eastAsia="宋体" w:cs="宋体"/>
                <w:i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AC294">
            <w:pPr>
              <w:jc w:val="center"/>
              <w:rPr>
                <w:rFonts w:hint="eastAsia" w:ascii="宋体" w:hAnsi="宋体" w:eastAsia="宋体" w:cs="宋体"/>
                <w:i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641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高血压患者基层规范管理服务率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A1BAB">
            <w:pPr>
              <w:jc w:val="center"/>
              <w:rPr>
                <w:rFonts w:hint="eastAsia" w:ascii="宋体" w:hAnsi="宋体" w:eastAsia="宋体" w:cs="宋体"/>
                <w:i w:val="0"/>
                <w:color w:val="000000"/>
                <w:sz w:val="18"/>
                <w:szCs w:val="18"/>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6973">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62%以上</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FDA1">
            <w:pPr>
              <w:jc w:val="center"/>
              <w:rPr>
                <w:rFonts w:hint="eastAsia" w:ascii="宋体" w:hAnsi="宋体" w:eastAsia="宋体" w:cs="宋体"/>
                <w:i w:val="0"/>
                <w:color w:val="000000"/>
                <w:sz w:val="18"/>
                <w:szCs w:val="18"/>
                <w:u w:val="none"/>
              </w:rPr>
            </w:pPr>
          </w:p>
        </w:tc>
      </w:tr>
      <w:tr w14:paraId="49476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4"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6BD66E7">
            <w:pPr>
              <w:jc w:val="center"/>
              <w:rPr>
                <w:rFonts w:hint="eastAsia" w:ascii="宋体" w:hAnsi="宋体" w:eastAsia="宋体" w:cs="宋体"/>
                <w:i w:val="0"/>
                <w:color w:val="000000"/>
                <w:sz w:val="18"/>
                <w:szCs w:val="18"/>
                <w:u w:val="none"/>
              </w:rPr>
            </w:pPr>
          </w:p>
        </w:tc>
        <w:tc>
          <w:tcPr>
            <w:tcW w:w="1046" w:type="dxa"/>
            <w:vMerge w:val="continue"/>
            <w:tcBorders>
              <w:top w:val="single" w:color="000000" w:sz="4" w:space="0"/>
              <w:left w:val="single" w:color="000000" w:sz="4" w:space="0"/>
              <w:right w:val="single" w:color="000000" w:sz="4" w:space="0"/>
            </w:tcBorders>
            <w:shd w:val="clear" w:color="auto" w:fill="auto"/>
            <w:vAlign w:val="center"/>
          </w:tcPr>
          <w:p w14:paraId="28CA9DFD">
            <w:pPr>
              <w:jc w:val="center"/>
              <w:rPr>
                <w:rFonts w:hint="eastAsia" w:ascii="宋体" w:hAnsi="宋体" w:eastAsia="宋体" w:cs="宋体"/>
                <w:i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2D7E1">
            <w:pPr>
              <w:jc w:val="center"/>
              <w:rPr>
                <w:rFonts w:hint="eastAsia" w:ascii="宋体" w:hAnsi="宋体" w:eastAsia="宋体" w:cs="宋体"/>
                <w:i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82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2型糖尿病患者基层规范管理服务率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C8D8">
            <w:pPr>
              <w:jc w:val="center"/>
              <w:rPr>
                <w:rFonts w:hint="eastAsia" w:ascii="宋体" w:hAnsi="宋体" w:eastAsia="宋体" w:cs="宋体"/>
                <w:i w:val="0"/>
                <w:color w:val="000000"/>
                <w:sz w:val="18"/>
                <w:szCs w:val="18"/>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789E">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62%以上</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7B36">
            <w:pPr>
              <w:jc w:val="center"/>
              <w:rPr>
                <w:rFonts w:hint="eastAsia" w:ascii="宋体" w:hAnsi="宋体" w:eastAsia="宋体" w:cs="宋体"/>
                <w:i w:val="0"/>
                <w:color w:val="000000"/>
                <w:sz w:val="18"/>
                <w:szCs w:val="18"/>
                <w:u w:val="none"/>
              </w:rPr>
            </w:pPr>
          </w:p>
        </w:tc>
      </w:tr>
      <w:tr w14:paraId="2CF5B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4"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42C7719">
            <w:pPr>
              <w:jc w:val="center"/>
              <w:rPr>
                <w:rFonts w:hint="eastAsia" w:ascii="宋体" w:hAnsi="宋体" w:eastAsia="宋体" w:cs="宋体"/>
                <w:i w:val="0"/>
                <w:color w:val="000000"/>
                <w:sz w:val="18"/>
                <w:szCs w:val="18"/>
                <w:u w:val="none"/>
              </w:rPr>
            </w:pPr>
          </w:p>
        </w:tc>
        <w:tc>
          <w:tcPr>
            <w:tcW w:w="1046" w:type="dxa"/>
            <w:vMerge w:val="continue"/>
            <w:tcBorders>
              <w:top w:val="single" w:color="000000" w:sz="4" w:space="0"/>
              <w:left w:val="single" w:color="000000" w:sz="4" w:space="0"/>
              <w:right w:val="single" w:color="000000" w:sz="4" w:space="0"/>
            </w:tcBorders>
            <w:shd w:val="clear" w:color="auto" w:fill="auto"/>
            <w:vAlign w:val="center"/>
          </w:tcPr>
          <w:p w14:paraId="21521AA0">
            <w:pPr>
              <w:jc w:val="center"/>
              <w:rPr>
                <w:rFonts w:hint="eastAsia" w:ascii="宋体" w:hAnsi="宋体" w:eastAsia="宋体" w:cs="宋体"/>
                <w:i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25ED4">
            <w:pPr>
              <w:jc w:val="center"/>
              <w:rPr>
                <w:rFonts w:hint="eastAsia" w:ascii="宋体" w:hAnsi="宋体" w:eastAsia="宋体" w:cs="宋体"/>
                <w:i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331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传染病和突发公共卫生事件报告率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A342">
            <w:pPr>
              <w:jc w:val="center"/>
              <w:rPr>
                <w:rFonts w:hint="eastAsia" w:ascii="宋体" w:hAnsi="宋体" w:eastAsia="宋体" w:cs="宋体"/>
                <w:i w:val="0"/>
                <w:color w:val="000000"/>
                <w:sz w:val="18"/>
                <w:szCs w:val="18"/>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C1F2">
            <w:pPr>
              <w:keepNext w:val="0"/>
              <w:keepLines w:val="0"/>
              <w:widowControl/>
              <w:suppressLineNumbers w:val="0"/>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95%以上</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5A41">
            <w:pPr>
              <w:jc w:val="center"/>
              <w:rPr>
                <w:rFonts w:hint="eastAsia" w:ascii="宋体" w:hAnsi="宋体" w:eastAsia="宋体" w:cs="宋体"/>
                <w:i w:val="0"/>
                <w:color w:val="000000"/>
                <w:sz w:val="18"/>
                <w:szCs w:val="18"/>
                <w:u w:val="none"/>
              </w:rPr>
            </w:pPr>
          </w:p>
        </w:tc>
      </w:tr>
      <w:tr w14:paraId="112BA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7"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B80EFCE">
            <w:pPr>
              <w:jc w:val="center"/>
              <w:rPr>
                <w:rFonts w:hint="eastAsia" w:ascii="宋体" w:hAnsi="宋体" w:eastAsia="宋体" w:cs="宋体"/>
                <w:i w:val="0"/>
                <w:color w:val="000000"/>
                <w:sz w:val="18"/>
                <w:szCs w:val="18"/>
                <w:u w:val="none"/>
              </w:rPr>
            </w:pPr>
          </w:p>
        </w:tc>
        <w:tc>
          <w:tcPr>
            <w:tcW w:w="1046" w:type="dxa"/>
            <w:vMerge w:val="continue"/>
            <w:tcBorders>
              <w:top w:val="single" w:color="000000" w:sz="4" w:space="0"/>
              <w:left w:val="single" w:color="000000" w:sz="4" w:space="0"/>
              <w:right w:val="single" w:color="000000" w:sz="4" w:space="0"/>
            </w:tcBorders>
            <w:shd w:val="clear" w:color="auto" w:fill="auto"/>
            <w:vAlign w:val="center"/>
          </w:tcPr>
          <w:p w14:paraId="6722DFDA">
            <w:pPr>
              <w:jc w:val="center"/>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F8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4F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项目完成及时率</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68AE">
            <w:pPr>
              <w:jc w:val="center"/>
              <w:rPr>
                <w:rFonts w:hint="eastAsia" w:ascii="宋体" w:hAnsi="宋体" w:eastAsia="宋体" w:cs="宋体"/>
                <w:i w:val="0"/>
                <w:color w:val="000000"/>
                <w:sz w:val="18"/>
                <w:szCs w:val="18"/>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27C4">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100%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7E28">
            <w:pPr>
              <w:jc w:val="center"/>
              <w:rPr>
                <w:rFonts w:hint="eastAsia" w:ascii="宋体" w:hAnsi="宋体" w:eastAsia="宋体" w:cs="宋体"/>
                <w:i w:val="0"/>
                <w:color w:val="000000"/>
                <w:sz w:val="18"/>
                <w:szCs w:val="18"/>
                <w:u w:val="none"/>
              </w:rPr>
            </w:pPr>
          </w:p>
        </w:tc>
      </w:tr>
      <w:tr w14:paraId="7E1C6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6D4682E">
            <w:pPr>
              <w:jc w:val="center"/>
              <w:rPr>
                <w:rFonts w:hint="eastAsia" w:ascii="宋体" w:hAnsi="宋体" w:eastAsia="宋体" w:cs="宋体"/>
                <w:i w:val="0"/>
                <w:color w:val="000000"/>
                <w:sz w:val="18"/>
                <w:szCs w:val="18"/>
                <w:u w:val="none"/>
              </w:rPr>
            </w:pP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BCA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2BC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93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城乡居民公共卫生差距</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228F">
            <w:pPr>
              <w:jc w:val="center"/>
              <w:rPr>
                <w:rFonts w:hint="eastAsia" w:ascii="宋体" w:hAnsi="宋体" w:eastAsia="宋体" w:cs="宋体"/>
                <w:i w:val="0"/>
                <w:color w:val="000000"/>
                <w:sz w:val="18"/>
                <w:szCs w:val="18"/>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EA2A">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不断缩小</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01BB">
            <w:pPr>
              <w:jc w:val="center"/>
              <w:rPr>
                <w:rFonts w:hint="eastAsia" w:ascii="宋体" w:hAnsi="宋体" w:eastAsia="宋体" w:cs="宋体"/>
                <w:i w:val="0"/>
                <w:color w:val="000000"/>
                <w:sz w:val="18"/>
                <w:szCs w:val="18"/>
                <w:u w:val="none"/>
              </w:rPr>
            </w:pPr>
          </w:p>
        </w:tc>
      </w:tr>
      <w:tr w14:paraId="60EB5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7"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31AA9A4">
            <w:pPr>
              <w:jc w:val="center"/>
              <w:rPr>
                <w:rFonts w:hint="eastAsia" w:ascii="宋体" w:hAnsi="宋体" w:eastAsia="宋体" w:cs="宋体"/>
                <w:i w:val="0"/>
                <w:color w:val="000000"/>
                <w:sz w:val="18"/>
                <w:szCs w:val="18"/>
                <w:u w:val="none"/>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58AD8">
            <w:pPr>
              <w:jc w:val="center"/>
              <w:rPr>
                <w:rFonts w:hint="eastAsia" w:ascii="宋体" w:hAnsi="宋体" w:eastAsia="宋体" w:cs="宋体"/>
                <w:i w:val="0"/>
                <w:color w:val="000000"/>
                <w:sz w:val="18"/>
                <w:szCs w:val="18"/>
                <w:u w:val="none"/>
              </w:rPr>
            </w:pPr>
          </w:p>
        </w:tc>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366E2">
            <w:pPr>
              <w:jc w:val="center"/>
              <w:rPr>
                <w:rFonts w:hint="eastAsia" w:ascii="宋体" w:hAnsi="宋体" w:eastAsia="宋体" w:cs="宋体"/>
                <w:i w:val="0"/>
                <w:color w:val="000000"/>
                <w:sz w:val="18"/>
                <w:szCs w:val="18"/>
                <w:u w:val="none"/>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CC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居民健康素养水平</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789F">
            <w:pPr>
              <w:jc w:val="center"/>
              <w:rPr>
                <w:rFonts w:hint="eastAsia" w:ascii="宋体" w:hAnsi="宋体" w:eastAsia="宋体" w:cs="宋体"/>
                <w:i w:val="0"/>
                <w:color w:val="000000"/>
                <w:sz w:val="18"/>
                <w:szCs w:val="18"/>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F930">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不断提高</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B915">
            <w:pPr>
              <w:jc w:val="center"/>
              <w:rPr>
                <w:rFonts w:hint="eastAsia" w:ascii="宋体" w:hAnsi="宋体" w:eastAsia="宋体" w:cs="宋体"/>
                <w:i w:val="0"/>
                <w:color w:val="000000"/>
                <w:sz w:val="18"/>
                <w:szCs w:val="18"/>
                <w:u w:val="none"/>
              </w:rPr>
            </w:pPr>
          </w:p>
        </w:tc>
      </w:tr>
      <w:tr w14:paraId="7B3C5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EE6D625">
            <w:pPr>
              <w:jc w:val="center"/>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C6E1">
            <w:pPr>
              <w:jc w:val="center"/>
              <w:rPr>
                <w:rFonts w:hint="eastAsia" w:ascii="宋体" w:hAnsi="宋体" w:eastAsia="宋体" w:cs="宋体"/>
                <w:i w:val="0"/>
                <w:color w:val="000000"/>
                <w:sz w:val="18"/>
                <w:szCs w:val="1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47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34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基本公共卫生服务水平</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98B7">
            <w:pPr>
              <w:jc w:val="center"/>
              <w:rPr>
                <w:rFonts w:hint="eastAsia" w:ascii="宋体" w:hAnsi="宋体" w:eastAsia="宋体" w:cs="宋体"/>
                <w:i w:val="0"/>
                <w:color w:val="000000"/>
                <w:sz w:val="18"/>
                <w:szCs w:val="18"/>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21B0">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不断提高</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F0B9">
            <w:pPr>
              <w:jc w:val="center"/>
              <w:rPr>
                <w:rFonts w:hint="eastAsia" w:ascii="宋体" w:hAnsi="宋体" w:eastAsia="宋体" w:cs="宋体"/>
                <w:i w:val="0"/>
                <w:color w:val="000000"/>
                <w:sz w:val="18"/>
                <w:szCs w:val="18"/>
                <w:u w:val="none"/>
              </w:rPr>
            </w:pPr>
          </w:p>
        </w:tc>
      </w:tr>
      <w:tr w14:paraId="49AEE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4"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F8A6F2">
            <w:pPr>
              <w:jc w:val="center"/>
              <w:rPr>
                <w:rFonts w:hint="eastAsia" w:ascii="宋体" w:hAnsi="宋体" w:eastAsia="宋体" w:cs="宋体"/>
                <w:i w:val="0"/>
                <w:color w:val="000000"/>
                <w:sz w:val="18"/>
                <w:szCs w:val="18"/>
                <w:u w:val="none"/>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7F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31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C8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B46D">
            <w:pPr>
              <w:jc w:val="center"/>
              <w:rPr>
                <w:rFonts w:hint="eastAsia" w:ascii="宋体" w:hAnsi="宋体" w:eastAsia="宋体" w:cs="宋体"/>
                <w:i w:val="0"/>
                <w:color w:val="000000"/>
                <w:sz w:val="18"/>
                <w:szCs w:val="18"/>
                <w:u w:val="none"/>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1F51">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r>
              <w:rPr>
                <w:rStyle w:val="10"/>
                <w:lang w:val="en-US" w:eastAsia="zh-CN" w:bidi="ar"/>
              </w:rPr>
              <w:t>90%</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C29A">
            <w:pPr>
              <w:jc w:val="center"/>
              <w:rPr>
                <w:rFonts w:hint="eastAsia" w:ascii="宋体" w:hAnsi="宋体" w:eastAsia="宋体" w:cs="宋体"/>
                <w:i w:val="0"/>
                <w:color w:val="000000"/>
                <w:sz w:val="18"/>
                <w:szCs w:val="18"/>
                <w:u w:val="none"/>
              </w:rPr>
            </w:pPr>
          </w:p>
        </w:tc>
      </w:tr>
      <w:tr w14:paraId="6C0F5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06" w:hRule="atLeast"/>
        </w:trPr>
        <w:tc>
          <w:tcPr>
            <w:tcW w:w="41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0BD1A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财政资金管理科室（盖章）</w:t>
            </w:r>
          </w:p>
          <w:p w14:paraId="2F5FAC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    月     日</w:t>
            </w:r>
          </w:p>
        </w:tc>
        <w:tc>
          <w:tcPr>
            <w:tcW w:w="42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447D4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财政绩效管理科室（盖章）</w:t>
            </w:r>
          </w:p>
          <w:p w14:paraId="72C0DE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    月     日</w:t>
            </w:r>
          </w:p>
        </w:tc>
      </w:tr>
    </w:tbl>
    <w:p w14:paraId="5AE21CD8">
      <w:pPr>
        <w:pStyle w:val="6"/>
        <w:keepNext w:val="0"/>
        <w:keepLines w:val="0"/>
        <w:pageBreakBefore w:val="0"/>
        <w:widowControl w:val="0"/>
        <w:kinsoku/>
        <w:wordWrap/>
        <w:overflowPunct/>
        <w:topLinePunct w:val="0"/>
        <w:autoSpaceDE/>
        <w:autoSpaceDN/>
        <w:bidi w:val="0"/>
        <w:spacing w:line="460" w:lineRule="atLeast"/>
        <w:ind w:left="0" w:leftChars="0" w:right="0" w:rightChars="0" w:firstLine="0" w:firstLineChars="0"/>
        <w:jc w:val="both"/>
        <w:textAlignment w:val="auto"/>
        <w:outlineLvl w:val="9"/>
        <w:rPr>
          <w:rFonts w:hint="eastAsia" w:ascii="仿宋_GB2312" w:eastAsia="仿宋_GB2312"/>
          <w:b/>
          <w:bCs/>
          <w:color w:val="000000"/>
          <w:sz w:val="36"/>
          <w:szCs w:val="36"/>
          <w:highlight w:val="none"/>
          <w:lang w:val="en-US" w:eastAsia="zh-CN"/>
        </w:rPr>
      </w:pPr>
    </w:p>
    <w:tbl>
      <w:tblPr>
        <w:tblStyle w:val="3"/>
        <w:tblW w:w="8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4"/>
        <w:gridCol w:w="1003"/>
        <w:gridCol w:w="1024"/>
        <w:gridCol w:w="1625"/>
        <w:gridCol w:w="1369"/>
        <w:gridCol w:w="1369"/>
        <w:gridCol w:w="1346"/>
      </w:tblGrid>
      <w:tr w14:paraId="5C2C3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3" w:hRule="atLeast"/>
        </w:trPr>
        <w:tc>
          <w:tcPr>
            <w:tcW w:w="8080" w:type="dxa"/>
            <w:gridSpan w:val="7"/>
            <w:shd w:val="clear" w:color="auto" w:fill="auto"/>
            <w:vAlign w:val="center"/>
          </w:tcPr>
          <w:p w14:paraId="4DC82F7D">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项目支出绩效目标批复表</w:t>
            </w:r>
          </w:p>
        </w:tc>
      </w:tr>
      <w:tr w14:paraId="63EBB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0" w:hRule="atLeast"/>
        </w:trPr>
        <w:tc>
          <w:tcPr>
            <w:tcW w:w="8080" w:type="dxa"/>
            <w:gridSpan w:val="7"/>
            <w:shd w:val="clear" w:color="auto" w:fill="auto"/>
            <w:vAlign w:val="center"/>
          </w:tcPr>
          <w:p w14:paraId="4763EE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14:paraId="2D4FC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0" w:hRule="atLeast"/>
        </w:trPr>
        <w:tc>
          <w:tcPr>
            <w:tcW w:w="8080" w:type="dxa"/>
            <w:gridSpan w:val="7"/>
            <w:tcBorders>
              <w:bottom w:val="single" w:color="000000" w:sz="4" w:space="0"/>
            </w:tcBorders>
            <w:shd w:val="clear" w:color="auto" w:fill="auto"/>
            <w:vAlign w:val="center"/>
          </w:tcPr>
          <w:p w14:paraId="3F6CCB0D">
            <w:pPr>
              <w:jc w:val="left"/>
              <w:rPr>
                <w:rFonts w:hint="eastAsia" w:ascii="宋体" w:hAnsi="宋体" w:eastAsia="宋体" w:cs="宋体"/>
                <w:i w:val="0"/>
                <w:color w:val="000000"/>
                <w:sz w:val="22"/>
                <w:szCs w:val="22"/>
                <w:u w:val="none"/>
              </w:rPr>
            </w:pPr>
          </w:p>
        </w:tc>
      </w:tr>
      <w:tr w14:paraId="0C8BB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23D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A583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实施国家基本药物制度补助资金</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61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项目负责人</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DCB26C">
            <w:pPr>
              <w:jc w:val="center"/>
              <w:rPr>
                <w:rFonts w:hint="eastAsia" w:ascii="宋体" w:hAnsi="宋体" w:eastAsia="宋体" w:cs="宋体"/>
                <w:i w:val="0"/>
                <w:color w:val="000000"/>
                <w:sz w:val="18"/>
                <w:szCs w:val="18"/>
                <w:u w:val="none"/>
              </w:rPr>
            </w:pPr>
          </w:p>
        </w:tc>
      </w:tr>
      <w:tr w14:paraId="6F8BB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9" w:hRule="atLeast"/>
        </w:trPr>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BDB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项目金额</w:t>
            </w: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2108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200万</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C49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其中：当年市级财政资金</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7EB8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200万</w:t>
            </w:r>
          </w:p>
        </w:tc>
      </w:tr>
      <w:tr w14:paraId="45969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342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项目主管部门</w:t>
            </w: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4614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黄石市卫生健康委员会</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CF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75CF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黄石市卫生健康委员会</w:t>
            </w:r>
          </w:p>
        </w:tc>
      </w:tr>
      <w:tr w14:paraId="3A904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8" w:hRule="atLeast"/>
        </w:trPr>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2DD0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项目属性</w:t>
            </w:r>
          </w:p>
        </w:tc>
        <w:tc>
          <w:tcPr>
            <w:tcW w:w="26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6297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持续性项目■</w:t>
            </w:r>
            <w:r>
              <w:rPr>
                <w:rStyle w:val="11"/>
                <w:lang w:val="en-US" w:eastAsia="zh-CN" w:bidi="ar"/>
              </w:rPr>
              <w:t xml:space="preserve">    新增性项目口</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3B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项目期</w:t>
            </w:r>
          </w:p>
        </w:tc>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4A42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w:t>
            </w:r>
          </w:p>
        </w:tc>
      </w:tr>
      <w:tr w14:paraId="00448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1" w:hRule="atLeast"/>
        </w:trPr>
        <w:tc>
          <w:tcPr>
            <w:tcW w:w="13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6B16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年度绩效目标（文字）</w:t>
            </w:r>
          </w:p>
        </w:tc>
        <w:tc>
          <w:tcPr>
            <w:tcW w:w="67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7DD8B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基层医疗机构实施国家基本药物制度，推进综合改革顺利进行。对实施国家基本药物制度的基层医疗机构给予补助，支持国家基本药物制度在基层医疗机构顺利实施。  </w:t>
            </w:r>
          </w:p>
        </w:tc>
      </w:tr>
      <w:tr w14:paraId="592AC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8" w:hRule="atLeast"/>
        </w:trPr>
        <w:tc>
          <w:tcPr>
            <w:tcW w:w="344"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77123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0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F28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4B8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73D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2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B19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7CD0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指标标准或依据</w:t>
            </w:r>
          </w:p>
        </w:tc>
      </w:tr>
      <w:tr w14:paraId="7C390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9"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F28AF4E">
            <w:pPr>
              <w:jc w:val="center"/>
              <w:rPr>
                <w:rFonts w:hint="eastAsia" w:ascii="宋体" w:hAnsi="宋体" w:eastAsia="宋体" w:cs="宋体"/>
                <w:i w:val="0"/>
                <w:color w:val="000000"/>
                <w:sz w:val="18"/>
                <w:szCs w:val="18"/>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5F06F">
            <w:pPr>
              <w:jc w:val="center"/>
              <w:rPr>
                <w:rFonts w:hint="eastAsia" w:ascii="宋体" w:hAnsi="宋体" w:eastAsia="宋体" w:cs="宋体"/>
                <w:i w:val="0"/>
                <w:color w:val="000000"/>
                <w:sz w:val="18"/>
                <w:szCs w:val="18"/>
                <w:u w:val="none"/>
              </w:rPr>
            </w:pP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23B09">
            <w:pPr>
              <w:jc w:val="center"/>
              <w:rPr>
                <w:rFonts w:hint="eastAsia" w:ascii="宋体" w:hAnsi="宋体" w:eastAsia="宋体" w:cs="宋体"/>
                <w:i w:val="0"/>
                <w:color w:val="000000"/>
                <w:sz w:val="18"/>
                <w:szCs w:val="18"/>
                <w:u w:val="none"/>
              </w:rPr>
            </w:pPr>
          </w:p>
        </w:tc>
        <w:tc>
          <w:tcPr>
            <w:tcW w:w="1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FCE9A">
            <w:pPr>
              <w:jc w:val="center"/>
              <w:rPr>
                <w:rFonts w:hint="eastAsia" w:ascii="宋体" w:hAnsi="宋体" w:eastAsia="宋体" w:cs="宋体"/>
                <w:i w:val="0"/>
                <w:color w:val="000000"/>
                <w:sz w:val="18"/>
                <w:szCs w:val="18"/>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DB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2022年实际实现值</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FB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预期2023年实现值</w:t>
            </w: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7A864">
            <w:pPr>
              <w:jc w:val="center"/>
              <w:rPr>
                <w:rFonts w:hint="eastAsia" w:ascii="宋体" w:hAnsi="宋体" w:eastAsia="宋体" w:cs="宋体"/>
                <w:i w:val="0"/>
                <w:color w:val="000000"/>
                <w:sz w:val="18"/>
                <w:szCs w:val="18"/>
                <w:u w:val="none"/>
              </w:rPr>
            </w:pPr>
          </w:p>
        </w:tc>
      </w:tr>
      <w:tr w14:paraId="43DE8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9"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79432C9">
            <w:pPr>
              <w:jc w:val="center"/>
              <w:rPr>
                <w:rFonts w:hint="eastAsia" w:ascii="宋体" w:hAnsi="宋体" w:eastAsia="宋体" w:cs="宋体"/>
                <w:i w:val="0"/>
                <w:color w:val="000000"/>
                <w:sz w:val="18"/>
                <w:szCs w:val="18"/>
                <w:u w:val="none"/>
              </w:rPr>
            </w:pPr>
          </w:p>
        </w:tc>
        <w:tc>
          <w:tcPr>
            <w:tcW w:w="1003" w:type="dxa"/>
            <w:vMerge w:val="restart"/>
            <w:tcBorders>
              <w:left w:val="single" w:color="000000" w:sz="4" w:space="0"/>
              <w:right w:val="single" w:color="000000" w:sz="4" w:space="0"/>
            </w:tcBorders>
            <w:shd w:val="clear" w:color="auto" w:fill="auto"/>
            <w:vAlign w:val="center"/>
          </w:tcPr>
          <w:p w14:paraId="33FFBF9B">
            <w:pPr>
              <w:jc w:val="center"/>
              <w:rPr>
                <w:rFonts w:hint="eastAsia" w:ascii="宋体" w:hAnsi="宋体" w:eastAsia="宋体" w:cs="宋体"/>
                <w:i w:val="0"/>
                <w:color w:val="000000"/>
                <w:sz w:val="18"/>
                <w:szCs w:val="18"/>
                <w:u w:val="none"/>
              </w:rPr>
            </w:pPr>
          </w:p>
        </w:tc>
        <w:tc>
          <w:tcPr>
            <w:tcW w:w="1024" w:type="dxa"/>
            <w:vMerge w:val="restart"/>
            <w:tcBorders>
              <w:left w:val="single" w:color="000000" w:sz="4" w:space="0"/>
              <w:right w:val="single" w:color="000000" w:sz="4" w:space="0"/>
            </w:tcBorders>
            <w:shd w:val="clear" w:color="auto" w:fill="auto"/>
            <w:vAlign w:val="center"/>
          </w:tcPr>
          <w:p w14:paraId="1CACBE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1BA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实施国家基本药物制度的村卫生室覆盖率</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26E1">
            <w:pPr>
              <w:jc w:val="center"/>
              <w:rPr>
                <w:rFonts w:hint="eastAsia" w:ascii="宋体" w:hAnsi="宋体" w:eastAsia="宋体" w:cs="宋体"/>
                <w:i w:val="0"/>
                <w:color w:val="000000"/>
                <w:sz w:val="18"/>
                <w:szCs w:val="18"/>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EC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6464">
            <w:pPr>
              <w:jc w:val="center"/>
              <w:rPr>
                <w:rFonts w:hint="eastAsia" w:ascii="宋体" w:hAnsi="宋体" w:eastAsia="宋体" w:cs="宋体"/>
                <w:i w:val="0"/>
                <w:color w:val="000000"/>
                <w:sz w:val="18"/>
                <w:szCs w:val="18"/>
                <w:u w:val="none"/>
              </w:rPr>
            </w:pPr>
          </w:p>
        </w:tc>
      </w:tr>
      <w:tr w14:paraId="4CD82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5"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229685">
            <w:pPr>
              <w:jc w:val="center"/>
              <w:rPr>
                <w:rFonts w:hint="eastAsia" w:ascii="宋体" w:hAnsi="宋体" w:eastAsia="宋体" w:cs="宋体"/>
                <w:i w:val="0"/>
                <w:color w:val="000000"/>
                <w:sz w:val="18"/>
                <w:szCs w:val="18"/>
                <w:u w:val="none"/>
              </w:rPr>
            </w:pPr>
          </w:p>
        </w:tc>
        <w:tc>
          <w:tcPr>
            <w:tcW w:w="1003" w:type="dxa"/>
            <w:vMerge w:val="continue"/>
            <w:tcBorders>
              <w:left w:val="single" w:color="000000" w:sz="4" w:space="0"/>
              <w:right w:val="single" w:color="000000" w:sz="4" w:space="0"/>
            </w:tcBorders>
            <w:shd w:val="clear" w:color="auto" w:fill="auto"/>
            <w:vAlign w:val="center"/>
          </w:tcPr>
          <w:p w14:paraId="5B680D1D">
            <w:pPr>
              <w:jc w:val="center"/>
              <w:rPr>
                <w:rFonts w:hint="eastAsia" w:ascii="宋体" w:hAnsi="宋体" w:eastAsia="宋体" w:cs="宋体"/>
                <w:i w:val="0"/>
                <w:color w:val="000000"/>
                <w:sz w:val="18"/>
                <w:szCs w:val="18"/>
                <w:u w:val="none"/>
              </w:rPr>
            </w:pPr>
          </w:p>
        </w:tc>
        <w:tc>
          <w:tcPr>
            <w:tcW w:w="1024" w:type="dxa"/>
            <w:vMerge w:val="continue"/>
            <w:tcBorders>
              <w:left w:val="single" w:color="000000" w:sz="4" w:space="0"/>
              <w:right w:val="single" w:color="000000" w:sz="4" w:space="0"/>
            </w:tcBorders>
            <w:shd w:val="clear" w:color="auto" w:fill="auto"/>
            <w:vAlign w:val="center"/>
          </w:tcPr>
          <w:p w14:paraId="41E3D9D0">
            <w:pPr>
              <w:jc w:val="center"/>
              <w:rPr>
                <w:rFonts w:hint="eastAsia" w:ascii="宋体" w:hAnsi="宋体" w:eastAsia="宋体" w:cs="宋体"/>
                <w:i w:val="0"/>
                <w:color w:val="000000"/>
                <w:sz w:val="18"/>
                <w:szCs w:val="18"/>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B3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村级医疗卫生覆盖率</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5ABF">
            <w:pPr>
              <w:jc w:val="center"/>
              <w:rPr>
                <w:rFonts w:hint="eastAsia" w:ascii="宋体" w:hAnsi="宋体" w:eastAsia="宋体" w:cs="宋体"/>
                <w:i w:val="0"/>
                <w:color w:val="000000"/>
                <w:sz w:val="18"/>
                <w:szCs w:val="18"/>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76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99%以上</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5F4A">
            <w:pPr>
              <w:jc w:val="center"/>
              <w:rPr>
                <w:rFonts w:hint="eastAsia" w:ascii="宋体" w:hAnsi="宋体" w:eastAsia="宋体" w:cs="宋体"/>
                <w:i w:val="0"/>
                <w:color w:val="000000"/>
                <w:sz w:val="18"/>
                <w:szCs w:val="18"/>
                <w:u w:val="none"/>
              </w:rPr>
            </w:pPr>
          </w:p>
        </w:tc>
      </w:tr>
      <w:tr w14:paraId="09646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5"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4DBF990">
            <w:pPr>
              <w:jc w:val="center"/>
              <w:rPr>
                <w:rFonts w:hint="eastAsia" w:ascii="宋体" w:hAnsi="宋体" w:eastAsia="宋体" w:cs="宋体"/>
                <w:i w:val="0"/>
                <w:color w:val="000000"/>
                <w:sz w:val="18"/>
                <w:szCs w:val="18"/>
                <w:u w:val="none"/>
              </w:rPr>
            </w:pPr>
          </w:p>
        </w:tc>
        <w:tc>
          <w:tcPr>
            <w:tcW w:w="1003" w:type="dxa"/>
            <w:vMerge w:val="continue"/>
            <w:tcBorders>
              <w:left w:val="single" w:color="000000" w:sz="4" w:space="0"/>
              <w:right w:val="single" w:color="000000" w:sz="4" w:space="0"/>
            </w:tcBorders>
            <w:shd w:val="clear" w:color="auto" w:fill="auto"/>
            <w:vAlign w:val="center"/>
          </w:tcPr>
          <w:p w14:paraId="613F30C7">
            <w:pPr>
              <w:jc w:val="center"/>
              <w:rPr>
                <w:rFonts w:hint="eastAsia" w:ascii="宋体" w:hAnsi="宋体" w:eastAsia="宋体" w:cs="宋体"/>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50B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94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村卫生室服务能力</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7354">
            <w:pPr>
              <w:jc w:val="center"/>
              <w:rPr>
                <w:rFonts w:hint="eastAsia" w:ascii="宋体" w:hAnsi="宋体" w:eastAsia="宋体" w:cs="宋体"/>
                <w:i w:val="0"/>
                <w:color w:val="000000"/>
                <w:sz w:val="18"/>
                <w:szCs w:val="18"/>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24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持续提升</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EBFF">
            <w:pPr>
              <w:jc w:val="center"/>
              <w:rPr>
                <w:rFonts w:hint="eastAsia" w:ascii="宋体" w:hAnsi="宋体" w:eastAsia="宋体" w:cs="宋体"/>
                <w:i w:val="0"/>
                <w:color w:val="000000"/>
                <w:sz w:val="18"/>
                <w:szCs w:val="18"/>
                <w:u w:val="none"/>
              </w:rPr>
            </w:pPr>
          </w:p>
        </w:tc>
      </w:tr>
      <w:tr w14:paraId="5E578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0"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3E3F5A9">
            <w:pPr>
              <w:jc w:val="center"/>
              <w:rPr>
                <w:rFonts w:hint="eastAsia" w:ascii="宋体" w:hAnsi="宋体" w:eastAsia="宋体" w:cs="宋体"/>
                <w:i w:val="0"/>
                <w:color w:val="000000"/>
                <w:sz w:val="18"/>
                <w:szCs w:val="18"/>
                <w:u w:val="none"/>
              </w:rPr>
            </w:pPr>
          </w:p>
        </w:tc>
        <w:tc>
          <w:tcPr>
            <w:tcW w:w="1003" w:type="dxa"/>
            <w:vMerge w:val="continue"/>
            <w:tcBorders>
              <w:left w:val="single" w:color="000000" w:sz="4" w:space="0"/>
              <w:right w:val="single" w:color="000000" w:sz="4" w:space="0"/>
            </w:tcBorders>
            <w:shd w:val="clear" w:color="auto" w:fill="auto"/>
            <w:vAlign w:val="center"/>
          </w:tcPr>
          <w:p w14:paraId="65424DE0">
            <w:pPr>
              <w:jc w:val="center"/>
              <w:rPr>
                <w:rFonts w:hint="eastAsia" w:ascii="宋体" w:hAnsi="宋体" w:eastAsia="宋体" w:cs="宋体"/>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D7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8F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按工作计划推进</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6D6F">
            <w:pPr>
              <w:jc w:val="center"/>
              <w:rPr>
                <w:rFonts w:hint="eastAsia" w:ascii="宋体" w:hAnsi="宋体" w:eastAsia="宋体" w:cs="宋体"/>
                <w:i w:val="0"/>
                <w:color w:val="000000"/>
                <w:sz w:val="18"/>
                <w:szCs w:val="18"/>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1A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2024年底</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C0C5">
            <w:pPr>
              <w:jc w:val="center"/>
              <w:rPr>
                <w:rFonts w:hint="eastAsia" w:ascii="宋体" w:hAnsi="宋体" w:eastAsia="宋体" w:cs="宋体"/>
                <w:i w:val="0"/>
                <w:color w:val="000000"/>
                <w:sz w:val="18"/>
                <w:szCs w:val="18"/>
                <w:u w:val="none"/>
              </w:rPr>
            </w:pPr>
          </w:p>
        </w:tc>
      </w:tr>
      <w:tr w14:paraId="4A5B7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9"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D1E3E16">
            <w:pPr>
              <w:jc w:val="center"/>
              <w:rPr>
                <w:rFonts w:hint="eastAsia" w:ascii="宋体" w:hAnsi="宋体" w:eastAsia="宋体" w:cs="宋体"/>
                <w:i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16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1E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03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村卫生室工作人员素质</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1470">
            <w:pPr>
              <w:jc w:val="center"/>
              <w:rPr>
                <w:rFonts w:hint="eastAsia" w:ascii="宋体" w:hAnsi="宋体" w:eastAsia="宋体" w:cs="宋体"/>
                <w:i w:val="0"/>
                <w:color w:val="000000"/>
                <w:sz w:val="18"/>
                <w:szCs w:val="18"/>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97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持续提升</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BD86">
            <w:pPr>
              <w:jc w:val="center"/>
              <w:rPr>
                <w:rFonts w:hint="eastAsia" w:ascii="宋体" w:hAnsi="宋体" w:eastAsia="宋体" w:cs="宋体"/>
                <w:i w:val="0"/>
                <w:color w:val="000000"/>
                <w:sz w:val="18"/>
                <w:szCs w:val="18"/>
                <w:u w:val="none"/>
              </w:rPr>
            </w:pPr>
          </w:p>
        </w:tc>
      </w:tr>
      <w:tr w14:paraId="59C80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9"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4C59440">
            <w:pPr>
              <w:jc w:val="center"/>
              <w:rPr>
                <w:rFonts w:hint="eastAsia" w:ascii="宋体" w:hAnsi="宋体" w:eastAsia="宋体" w:cs="宋体"/>
                <w:i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0A37">
            <w:pPr>
              <w:jc w:val="center"/>
              <w:rPr>
                <w:rFonts w:hint="eastAsia" w:ascii="宋体" w:hAnsi="宋体" w:eastAsia="宋体" w:cs="宋体"/>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F7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27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乡村医生收入</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19F0">
            <w:pPr>
              <w:jc w:val="center"/>
              <w:rPr>
                <w:rFonts w:hint="eastAsia" w:ascii="宋体" w:hAnsi="宋体" w:eastAsia="宋体" w:cs="宋体"/>
                <w:i w:val="0"/>
                <w:color w:val="000000"/>
                <w:sz w:val="18"/>
                <w:szCs w:val="18"/>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01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保持稳定</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819C">
            <w:pPr>
              <w:jc w:val="center"/>
              <w:rPr>
                <w:rFonts w:hint="eastAsia" w:ascii="宋体" w:hAnsi="宋体" w:eastAsia="宋体" w:cs="宋体"/>
                <w:i w:val="0"/>
                <w:color w:val="000000"/>
                <w:sz w:val="18"/>
                <w:szCs w:val="18"/>
                <w:u w:val="none"/>
              </w:rPr>
            </w:pPr>
          </w:p>
        </w:tc>
      </w:tr>
      <w:tr w14:paraId="319CF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9"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2AF493B">
            <w:pPr>
              <w:jc w:val="center"/>
              <w:rPr>
                <w:rFonts w:hint="eastAsia" w:ascii="宋体" w:hAnsi="宋体" w:eastAsia="宋体" w:cs="宋体"/>
                <w:i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60C3A">
            <w:pPr>
              <w:jc w:val="center"/>
              <w:rPr>
                <w:rFonts w:hint="eastAsia" w:ascii="宋体" w:hAnsi="宋体" w:eastAsia="宋体" w:cs="宋体"/>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93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环境效益指标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DD41">
            <w:pPr>
              <w:jc w:val="center"/>
              <w:rPr>
                <w:rFonts w:hint="eastAsia" w:ascii="宋体" w:hAnsi="宋体" w:eastAsia="宋体" w:cs="宋体"/>
                <w:i w:val="0"/>
                <w:color w:val="000000"/>
                <w:sz w:val="18"/>
                <w:szCs w:val="18"/>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C84F">
            <w:pPr>
              <w:jc w:val="center"/>
              <w:rPr>
                <w:rFonts w:hint="eastAsia" w:ascii="宋体" w:hAnsi="宋体" w:eastAsia="宋体" w:cs="宋体"/>
                <w:i w:val="0"/>
                <w:color w:val="000000"/>
                <w:sz w:val="18"/>
                <w:szCs w:val="18"/>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E777A">
            <w:pPr>
              <w:jc w:val="center"/>
              <w:rPr>
                <w:rFonts w:hint="eastAsia" w:ascii="宋体" w:hAnsi="宋体" w:eastAsia="宋体" w:cs="宋体"/>
                <w:i w:val="0"/>
                <w:color w:val="000000"/>
                <w:sz w:val="18"/>
                <w:szCs w:val="18"/>
                <w:u w:val="none"/>
              </w:rPr>
            </w:pP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8EE9C">
            <w:pPr>
              <w:jc w:val="center"/>
              <w:rPr>
                <w:rFonts w:hint="eastAsia" w:ascii="宋体" w:hAnsi="宋体" w:eastAsia="宋体" w:cs="宋体"/>
                <w:i w:val="0"/>
                <w:color w:val="000000"/>
                <w:sz w:val="18"/>
                <w:szCs w:val="18"/>
                <w:u w:val="none"/>
              </w:rPr>
            </w:pPr>
          </w:p>
        </w:tc>
      </w:tr>
      <w:tr w14:paraId="68871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9"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D23F8B5">
            <w:pPr>
              <w:jc w:val="center"/>
              <w:rPr>
                <w:rFonts w:hint="eastAsia" w:ascii="宋体" w:hAnsi="宋体" w:eastAsia="宋体" w:cs="宋体"/>
                <w:i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F9C6">
            <w:pPr>
              <w:jc w:val="center"/>
              <w:rPr>
                <w:rFonts w:hint="eastAsia" w:ascii="宋体" w:hAnsi="宋体" w:eastAsia="宋体" w:cs="宋体"/>
                <w:i w:val="0"/>
                <w:color w:val="000000"/>
                <w:sz w:val="18"/>
                <w:szCs w:val="18"/>
                <w:u w:val="none"/>
              </w:rPr>
            </w:pP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F9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28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国家基本药物制度在基层持续实施</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C4B1">
            <w:pPr>
              <w:jc w:val="center"/>
              <w:rPr>
                <w:rFonts w:hint="eastAsia" w:ascii="宋体" w:hAnsi="宋体" w:eastAsia="宋体" w:cs="宋体"/>
                <w:i w:val="0"/>
                <w:color w:val="000000"/>
                <w:sz w:val="18"/>
                <w:szCs w:val="18"/>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CF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中长期</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D7CD">
            <w:pPr>
              <w:jc w:val="center"/>
              <w:rPr>
                <w:rFonts w:hint="eastAsia" w:ascii="宋体" w:hAnsi="宋体" w:eastAsia="宋体" w:cs="宋体"/>
                <w:i w:val="0"/>
                <w:color w:val="000000"/>
                <w:sz w:val="18"/>
                <w:szCs w:val="18"/>
                <w:u w:val="none"/>
              </w:rPr>
            </w:pPr>
          </w:p>
        </w:tc>
      </w:tr>
      <w:tr w14:paraId="20D87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9" w:hRule="atLeast"/>
        </w:trPr>
        <w:tc>
          <w:tcPr>
            <w:tcW w:w="34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DA9757E">
            <w:pPr>
              <w:jc w:val="center"/>
              <w:rPr>
                <w:rFonts w:hint="eastAsia" w:ascii="宋体" w:hAnsi="宋体" w:eastAsia="宋体" w:cs="宋体"/>
                <w:i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15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24D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61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2C98">
            <w:pPr>
              <w:jc w:val="center"/>
              <w:rPr>
                <w:rFonts w:hint="eastAsia" w:ascii="宋体" w:hAnsi="宋体" w:eastAsia="宋体" w:cs="宋体"/>
                <w:i w:val="0"/>
                <w:color w:val="000000"/>
                <w:sz w:val="18"/>
                <w:szCs w:val="18"/>
                <w:u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2B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80%以上</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1C21">
            <w:pPr>
              <w:jc w:val="center"/>
              <w:rPr>
                <w:rFonts w:hint="eastAsia" w:ascii="宋体" w:hAnsi="宋体" w:eastAsia="宋体" w:cs="宋体"/>
                <w:i w:val="0"/>
                <w:color w:val="000000"/>
                <w:sz w:val="18"/>
                <w:szCs w:val="18"/>
                <w:u w:val="none"/>
              </w:rPr>
            </w:pPr>
          </w:p>
        </w:tc>
      </w:tr>
      <w:tr w14:paraId="7A1D2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trPr>
        <w:tc>
          <w:tcPr>
            <w:tcW w:w="39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6B06E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财政资金管理科室（盖章）</w:t>
            </w:r>
          </w:p>
          <w:p w14:paraId="249A52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    月     日</w:t>
            </w:r>
          </w:p>
        </w:tc>
        <w:tc>
          <w:tcPr>
            <w:tcW w:w="4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C967FC">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财政绩效管理科室（盖章）</w:t>
            </w:r>
          </w:p>
          <w:p w14:paraId="0FCA24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    月     日</w:t>
            </w:r>
          </w:p>
        </w:tc>
      </w:tr>
    </w:tbl>
    <w:p w14:paraId="52160564">
      <w:pPr>
        <w:pStyle w:val="6"/>
        <w:keepNext w:val="0"/>
        <w:keepLines w:val="0"/>
        <w:pageBreakBefore w:val="0"/>
        <w:widowControl w:val="0"/>
        <w:kinsoku/>
        <w:wordWrap/>
        <w:overflowPunct/>
        <w:topLinePunct w:val="0"/>
        <w:autoSpaceDE/>
        <w:autoSpaceDN/>
        <w:bidi w:val="0"/>
        <w:spacing w:line="460" w:lineRule="atLeast"/>
        <w:ind w:left="0" w:leftChars="0" w:right="0" w:rightChars="0" w:firstLine="0" w:firstLineChars="0"/>
        <w:jc w:val="both"/>
        <w:textAlignment w:val="auto"/>
        <w:outlineLvl w:val="9"/>
        <w:rPr>
          <w:rFonts w:hint="eastAsia" w:ascii="仿宋_GB2312" w:eastAsia="仿宋_GB2312"/>
          <w:b/>
          <w:bCs/>
          <w:color w:val="000000"/>
          <w:sz w:val="36"/>
          <w:szCs w:val="36"/>
          <w:highlight w:val="none"/>
          <w:lang w:val="en-US" w:eastAsia="zh-CN"/>
        </w:rPr>
      </w:pPr>
    </w:p>
    <w:p w14:paraId="1738A4EC">
      <w:pPr>
        <w:pStyle w:val="6"/>
        <w:keepNext w:val="0"/>
        <w:keepLines w:val="0"/>
        <w:pageBreakBefore w:val="0"/>
        <w:widowControl w:val="0"/>
        <w:kinsoku/>
        <w:wordWrap/>
        <w:overflowPunct/>
        <w:topLinePunct w:val="0"/>
        <w:autoSpaceDE/>
        <w:autoSpaceDN/>
        <w:bidi w:val="0"/>
        <w:spacing w:line="460" w:lineRule="atLeast"/>
        <w:ind w:left="0" w:leftChars="0" w:right="0" w:rightChars="0" w:firstLine="0" w:firstLineChars="0"/>
        <w:jc w:val="both"/>
        <w:textAlignment w:val="auto"/>
        <w:outlineLvl w:val="9"/>
        <w:rPr>
          <w:rFonts w:hint="eastAsia" w:ascii="仿宋_GB2312" w:eastAsia="仿宋_GB2312"/>
          <w:b/>
          <w:bCs/>
          <w:color w:val="000000"/>
          <w:sz w:val="36"/>
          <w:szCs w:val="36"/>
          <w:highlight w:val="none"/>
          <w:lang w:val="en-US" w:eastAsia="zh-CN"/>
        </w:rPr>
      </w:pPr>
    </w:p>
    <w:p w14:paraId="6AA85A82">
      <w:pPr>
        <w:pStyle w:val="6"/>
        <w:keepNext w:val="0"/>
        <w:keepLines w:val="0"/>
        <w:pageBreakBefore w:val="0"/>
        <w:widowControl w:val="0"/>
        <w:kinsoku/>
        <w:wordWrap/>
        <w:overflowPunct/>
        <w:topLinePunct w:val="0"/>
        <w:autoSpaceDE/>
        <w:autoSpaceDN/>
        <w:bidi w:val="0"/>
        <w:spacing w:line="460" w:lineRule="atLeast"/>
        <w:ind w:left="0" w:leftChars="0" w:right="0" w:rightChars="0" w:firstLine="0" w:firstLineChars="0"/>
        <w:jc w:val="both"/>
        <w:textAlignment w:val="auto"/>
        <w:outlineLvl w:val="9"/>
        <w:rPr>
          <w:rFonts w:hint="eastAsia" w:ascii="仿宋_GB2312" w:eastAsia="仿宋_GB2312"/>
          <w:b/>
          <w:bCs/>
          <w:color w:val="000000"/>
          <w:sz w:val="36"/>
          <w:szCs w:val="36"/>
          <w:highlight w:val="none"/>
          <w:lang w:val="en-US" w:eastAsia="zh-CN"/>
        </w:rPr>
      </w:pPr>
    </w:p>
    <w:tbl>
      <w:tblPr>
        <w:tblStyle w:val="3"/>
        <w:tblW w:w="8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60"/>
        <w:gridCol w:w="1031"/>
        <w:gridCol w:w="1053"/>
        <w:gridCol w:w="1679"/>
        <w:gridCol w:w="1405"/>
        <w:gridCol w:w="1411"/>
        <w:gridCol w:w="1381"/>
      </w:tblGrid>
      <w:tr w14:paraId="4873A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3" w:hRule="atLeast"/>
        </w:trPr>
        <w:tc>
          <w:tcPr>
            <w:tcW w:w="8320" w:type="dxa"/>
            <w:gridSpan w:val="7"/>
            <w:shd w:val="clear" w:color="auto" w:fill="auto"/>
            <w:vAlign w:val="center"/>
          </w:tcPr>
          <w:p w14:paraId="38979C4A">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项目支出绩效目标批复表</w:t>
            </w:r>
          </w:p>
        </w:tc>
      </w:tr>
      <w:tr w14:paraId="212A3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 w:hRule="atLeast"/>
        </w:trPr>
        <w:tc>
          <w:tcPr>
            <w:tcW w:w="8320" w:type="dxa"/>
            <w:gridSpan w:val="7"/>
            <w:shd w:val="clear" w:color="auto" w:fill="auto"/>
            <w:vAlign w:val="center"/>
          </w:tcPr>
          <w:p w14:paraId="698345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14:paraId="0C769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7" w:hRule="atLeast"/>
        </w:trPr>
        <w:tc>
          <w:tcPr>
            <w:tcW w:w="8320" w:type="dxa"/>
            <w:gridSpan w:val="7"/>
            <w:tcBorders>
              <w:bottom w:val="single" w:color="000000" w:sz="4" w:space="0"/>
            </w:tcBorders>
            <w:shd w:val="clear" w:color="auto" w:fill="auto"/>
            <w:vAlign w:val="center"/>
          </w:tcPr>
          <w:p w14:paraId="3D3294A8">
            <w:pPr>
              <w:jc w:val="left"/>
              <w:rPr>
                <w:rFonts w:hint="eastAsia" w:ascii="宋体" w:hAnsi="宋体" w:eastAsia="宋体" w:cs="宋体"/>
                <w:i w:val="0"/>
                <w:color w:val="000000"/>
                <w:sz w:val="22"/>
                <w:szCs w:val="22"/>
                <w:u w:val="none"/>
              </w:rPr>
            </w:pPr>
          </w:p>
        </w:tc>
      </w:tr>
      <w:tr w14:paraId="53572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142A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7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05C9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医疗机构取消药品加成财政专项补助经费</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00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项目负责人</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44ECB">
            <w:pPr>
              <w:jc w:val="center"/>
              <w:rPr>
                <w:rFonts w:hint="eastAsia" w:ascii="宋体" w:hAnsi="宋体" w:eastAsia="宋体" w:cs="宋体"/>
                <w:i w:val="0"/>
                <w:color w:val="000000"/>
                <w:sz w:val="18"/>
                <w:szCs w:val="18"/>
                <w:u w:val="none"/>
              </w:rPr>
            </w:pPr>
          </w:p>
        </w:tc>
      </w:tr>
      <w:tr w14:paraId="5E028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623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项目金额</w:t>
            </w:r>
          </w:p>
        </w:tc>
        <w:tc>
          <w:tcPr>
            <w:tcW w:w="27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F688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2017万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96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其中：当年市级财政资金</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B4C4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2017万</w:t>
            </w:r>
          </w:p>
        </w:tc>
      </w:tr>
      <w:tr w14:paraId="26B44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6"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DD4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项目主管部门</w:t>
            </w:r>
          </w:p>
        </w:tc>
        <w:tc>
          <w:tcPr>
            <w:tcW w:w="27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C3E7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黄石市卫生健康委员会</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FB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1695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黄石市卫生健康委员会</w:t>
            </w:r>
          </w:p>
        </w:tc>
      </w:tr>
      <w:tr w14:paraId="00B78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6"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B22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项目属性</w:t>
            </w:r>
          </w:p>
        </w:tc>
        <w:tc>
          <w:tcPr>
            <w:tcW w:w="27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FAAE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持续性项目■    新增性项目口</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10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项目期</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011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w:t>
            </w:r>
          </w:p>
        </w:tc>
      </w:tr>
      <w:tr w14:paraId="5933F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13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0CA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年度绩效目标（文字）</w:t>
            </w:r>
          </w:p>
        </w:tc>
        <w:tc>
          <w:tcPr>
            <w:tcW w:w="69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66AF3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落实医改目标任务，公立医院取消药品加成。</w:t>
            </w:r>
          </w:p>
        </w:tc>
      </w:tr>
      <w:tr w14:paraId="41D35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0" w:hRule="atLeast"/>
        </w:trPr>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B8F9C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D24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F1F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356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28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419E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3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76D4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指标标准或依据</w:t>
            </w:r>
          </w:p>
        </w:tc>
      </w:tr>
      <w:tr w14:paraId="56E38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E34247B">
            <w:pPr>
              <w:jc w:val="cente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2D601">
            <w:pPr>
              <w:jc w:val="center"/>
              <w:rPr>
                <w:rFonts w:hint="eastAsia" w:ascii="宋体" w:hAnsi="宋体" w:eastAsia="宋体" w:cs="宋体"/>
                <w:i w:val="0"/>
                <w:color w:val="000000"/>
                <w:sz w:val="18"/>
                <w:szCs w:val="18"/>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A9048">
            <w:pPr>
              <w:jc w:val="center"/>
              <w:rPr>
                <w:rFonts w:hint="eastAsia" w:ascii="宋体" w:hAnsi="宋体" w:eastAsia="宋体" w:cs="宋体"/>
                <w:i w:val="0"/>
                <w:color w:val="000000"/>
                <w:sz w:val="18"/>
                <w:szCs w:val="18"/>
                <w:u w:val="none"/>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C1916">
            <w:pPr>
              <w:jc w:val="center"/>
              <w:rPr>
                <w:rFonts w:hint="eastAsia" w:ascii="宋体" w:hAnsi="宋体" w:eastAsia="宋体" w:cs="宋体"/>
                <w:i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01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2022年实际实现值</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D5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预期2023年实现值</w:t>
            </w: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36828">
            <w:pPr>
              <w:jc w:val="center"/>
              <w:rPr>
                <w:rFonts w:hint="eastAsia" w:ascii="宋体" w:hAnsi="宋体" w:eastAsia="宋体" w:cs="宋体"/>
                <w:i w:val="0"/>
                <w:color w:val="000000"/>
                <w:sz w:val="18"/>
                <w:szCs w:val="18"/>
                <w:u w:val="none"/>
              </w:rPr>
            </w:pPr>
          </w:p>
        </w:tc>
      </w:tr>
      <w:tr w14:paraId="064A3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6"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CC631F7">
            <w:pPr>
              <w:jc w:val="center"/>
              <w:rPr>
                <w:rFonts w:hint="eastAsia" w:ascii="宋体" w:hAnsi="宋体" w:eastAsia="宋体" w:cs="宋体"/>
                <w:i w:val="0"/>
                <w:color w:val="000000"/>
                <w:sz w:val="18"/>
                <w:szCs w:val="18"/>
                <w:u w:val="none"/>
              </w:rPr>
            </w:pPr>
          </w:p>
        </w:tc>
        <w:tc>
          <w:tcPr>
            <w:tcW w:w="1031" w:type="dxa"/>
            <w:vMerge w:val="restart"/>
            <w:tcBorders>
              <w:top w:val="single" w:color="000000" w:sz="4" w:space="0"/>
              <w:left w:val="single" w:color="000000" w:sz="4" w:space="0"/>
              <w:right w:val="single" w:color="000000" w:sz="4" w:space="0"/>
            </w:tcBorders>
            <w:shd w:val="clear" w:color="auto" w:fill="auto"/>
            <w:vAlign w:val="center"/>
          </w:tcPr>
          <w:p w14:paraId="35603E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053" w:type="dxa"/>
            <w:tcBorders>
              <w:top w:val="single" w:color="000000" w:sz="4" w:space="0"/>
              <w:left w:val="single" w:color="000000" w:sz="4" w:space="0"/>
              <w:right w:val="single" w:color="000000" w:sz="4" w:space="0"/>
            </w:tcBorders>
            <w:shd w:val="clear" w:color="auto" w:fill="auto"/>
            <w:vAlign w:val="center"/>
          </w:tcPr>
          <w:p w14:paraId="21DAC2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7C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取消药品加成医疗机构数</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14F4">
            <w:pPr>
              <w:jc w:val="center"/>
              <w:rPr>
                <w:rFonts w:hint="eastAsia" w:ascii="宋体" w:hAnsi="宋体" w:eastAsia="宋体" w:cs="宋体"/>
                <w:i w:val="0"/>
                <w:color w:val="000000"/>
                <w:sz w:val="18"/>
                <w:szCs w:val="18"/>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09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14家医院</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A945">
            <w:pPr>
              <w:jc w:val="center"/>
              <w:rPr>
                <w:rFonts w:hint="eastAsia" w:ascii="宋体" w:hAnsi="宋体" w:eastAsia="宋体" w:cs="宋体"/>
                <w:i w:val="0"/>
                <w:color w:val="000000"/>
                <w:sz w:val="18"/>
                <w:szCs w:val="18"/>
                <w:u w:val="none"/>
              </w:rPr>
            </w:pPr>
          </w:p>
        </w:tc>
      </w:tr>
      <w:tr w14:paraId="6FAC0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6"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E9AE236">
            <w:pPr>
              <w:jc w:val="cente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right w:val="single" w:color="000000" w:sz="4" w:space="0"/>
            </w:tcBorders>
            <w:shd w:val="clear" w:color="auto" w:fill="auto"/>
            <w:vAlign w:val="center"/>
          </w:tcPr>
          <w:p w14:paraId="5B9F6FD5">
            <w:pPr>
              <w:jc w:val="center"/>
              <w:rPr>
                <w:rFonts w:hint="eastAsia" w:ascii="宋体" w:hAnsi="宋体" w:eastAsia="宋体" w:cs="宋体"/>
                <w:i w:val="0"/>
                <w:color w:val="000000"/>
                <w:sz w:val="18"/>
                <w:szCs w:val="18"/>
                <w:u w:val="none"/>
              </w:rPr>
            </w:pP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408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F1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药品加成（中药饮片除外）</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AC19">
            <w:pPr>
              <w:jc w:val="center"/>
              <w:rPr>
                <w:rFonts w:hint="eastAsia" w:ascii="宋体" w:hAnsi="宋体" w:eastAsia="宋体" w:cs="宋体"/>
                <w:i w:val="0"/>
                <w:color w:val="000000"/>
                <w:sz w:val="18"/>
                <w:szCs w:val="18"/>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6F4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零加成</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FEE1">
            <w:pPr>
              <w:jc w:val="center"/>
              <w:rPr>
                <w:rFonts w:hint="eastAsia" w:ascii="宋体" w:hAnsi="宋体" w:eastAsia="宋体" w:cs="宋体"/>
                <w:i w:val="0"/>
                <w:color w:val="000000"/>
                <w:sz w:val="18"/>
                <w:szCs w:val="18"/>
                <w:u w:val="none"/>
              </w:rPr>
            </w:pPr>
          </w:p>
        </w:tc>
      </w:tr>
      <w:tr w14:paraId="133A7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2"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28C400B">
            <w:pPr>
              <w:jc w:val="cente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right w:val="single" w:color="000000" w:sz="4" w:space="0"/>
            </w:tcBorders>
            <w:shd w:val="clear" w:color="auto" w:fill="auto"/>
            <w:vAlign w:val="center"/>
          </w:tcPr>
          <w:p w14:paraId="2ED6483A">
            <w:pPr>
              <w:jc w:val="center"/>
              <w:rPr>
                <w:rFonts w:hint="eastAsia" w:ascii="宋体" w:hAnsi="宋体" w:eastAsia="宋体" w:cs="宋体"/>
                <w:i w:val="0"/>
                <w:color w:val="000000"/>
                <w:sz w:val="18"/>
                <w:szCs w:val="18"/>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DF88B">
            <w:pPr>
              <w:jc w:val="center"/>
              <w:rPr>
                <w:rFonts w:hint="eastAsia" w:ascii="宋体" w:hAnsi="宋体" w:eastAsia="宋体" w:cs="宋体"/>
                <w:i w:val="0"/>
                <w:color w:val="000000"/>
                <w:sz w:val="18"/>
                <w:szCs w:val="18"/>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4F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财政补偿完成比例</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0BF7">
            <w:pPr>
              <w:jc w:val="center"/>
              <w:rPr>
                <w:rFonts w:hint="eastAsia" w:ascii="宋体" w:hAnsi="宋体" w:eastAsia="宋体" w:cs="宋体"/>
                <w:i w:val="0"/>
                <w:color w:val="000000"/>
                <w:sz w:val="18"/>
                <w:szCs w:val="18"/>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2E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E1D3">
            <w:pPr>
              <w:jc w:val="center"/>
              <w:rPr>
                <w:rFonts w:hint="eastAsia" w:ascii="宋体" w:hAnsi="宋体" w:eastAsia="宋体" w:cs="宋体"/>
                <w:i w:val="0"/>
                <w:color w:val="000000"/>
                <w:sz w:val="18"/>
                <w:szCs w:val="18"/>
                <w:u w:val="none"/>
              </w:rPr>
            </w:pPr>
          </w:p>
        </w:tc>
      </w:tr>
      <w:tr w14:paraId="46049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5B8AC19">
            <w:pPr>
              <w:jc w:val="cente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right w:val="single" w:color="000000" w:sz="4" w:space="0"/>
            </w:tcBorders>
            <w:shd w:val="clear" w:color="auto" w:fill="auto"/>
            <w:vAlign w:val="center"/>
          </w:tcPr>
          <w:p w14:paraId="0C85A95C">
            <w:pPr>
              <w:jc w:val="center"/>
              <w:rPr>
                <w:rFonts w:hint="eastAsia" w:ascii="宋体" w:hAnsi="宋体" w:eastAsia="宋体" w:cs="宋体"/>
                <w:i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02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8F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政府补偿完成及时率</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2269">
            <w:pPr>
              <w:jc w:val="center"/>
              <w:rPr>
                <w:rFonts w:hint="eastAsia" w:ascii="宋体" w:hAnsi="宋体" w:eastAsia="宋体" w:cs="宋体"/>
                <w:i w:val="0"/>
                <w:color w:val="000000"/>
                <w:sz w:val="18"/>
                <w:szCs w:val="18"/>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45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52E0">
            <w:pPr>
              <w:jc w:val="center"/>
              <w:rPr>
                <w:rFonts w:hint="eastAsia" w:ascii="宋体" w:hAnsi="宋体" w:eastAsia="宋体" w:cs="宋体"/>
                <w:i w:val="0"/>
                <w:color w:val="000000"/>
                <w:sz w:val="18"/>
                <w:szCs w:val="18"/>
                <w:u w:val="none"/>
              </w:rPr>
            </w:pPr>
          </w:p>
        </w:tc>
      </w:tr>
      <w:tr w14:paraId="71B32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2"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49CA1D7">
            <w:pPr>
              <w:jc w:val="center"/>
              <w:rPr>
                <w:rFonts w:hint="eastAsia" w:ascii="宋体" w:hAnsi="宋体" w:eastAsia="宋体" w:cs="宋体"/>
                <w:i w:val="0"/>
                <w:color w:val="000000"/>
                <w:sz w:val="18"/>
                <w:szCs w:val="18"/>
                <w:u w:val="none"/>
              </w:rPr>
            </w:pPr>
          </w:p>
        </w:tc>
        <w:tc>
          <w:tcPr>
            <w:tcW w:w="10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9A84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0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9F71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A6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破除以药补医机制</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AE18">
            <w:pPr>
              <w:jc w:val="center"/>
              <w:rPr>
                <w:rFonts w:hint="eastAsia" w:ascii="宋体" w:hAnsi="宋体" w:eastAsia="宋体" w:cs="宋体"/>
                <w:i w:val="0"/>
                <w:color w:val="000000"/>
                <w:sz w:val="18"/>
                <w:szCs w:val="18"/>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B1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全面执行</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C001">
            <w:pPr>
              <w:jc w:val="center"/>
              <w:rPr>
                <w:rFonts w:hint="eastAsia" w:ascii="宋体" w:hAnsi="宋体" w:eastAsia="宋体" w:cs="宋体"/>
                <w:i w:val="0"/>
                <w:color w:val="000000"/>
                <w:sz w:val="18"/>
                <w:szCs w:val="18"/>
                <w:u w:val="none"/>
              </w:rPr>
            </w:pPr>
          </w:p>
        </w:tc>
      </w:tr>
      <w:tr w14:paraId="6DF31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8ED9D6A">
            <w:pPr>
              <w:jc w:val="cente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3192F">
            <w:pPr>
              <w:jc w:val="center"/>
              <w:rPr>
                <w:rFonts w:hint="eastAsia" w:ascii="宋体" w:hAnsi="宋体" w:eastAsia="宋体" w:cs="宋体"/>
                <w:i w:val="0"/>
                <w:color w:val="000000"/>
                <w:sz w:val="18"/>
                <w:szCs w:val="18"/>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B3585">
            <w:pPr>
              <w:jc w:val="center"/>
              <w:rPr>
                <w:rFonts w:hint="eastAsia" w:ascii="宋体" w:hAnsi="宋体" w:eastAsia="宋体" w:cs="宋体"/>
                <w:i w:val="0"/>
                <w:color w:val="000000"/>
                <w:sz w:val="18"/>
                <w:szCs w:val="18"/>
                <w:u w:val="none"/>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0C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公立医院健康规范发展</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BC66">
            <w:pPr>
              <w:jc w:val="center"/>
              <w:rPr>
                <w:rFonts w:hint="eastAsia" w:ascii="宋体" w:hAnsi="宋体" w:eastAsia="宋体" w:cs="宋体"/>
                <w:i w:val="0"/>
                <w:color w:val="000000"/>
                <w:sz w:val="18"/>
                <w:szCs w:val="18"/>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91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0446">
            <w:pPr>
              <w:jc w:val="center"/>
              <w:rPr>
                <w:rFonts w:hint="eastAsia" w:ascii="宋体" w:hAnsi="宋体" w:eastAsia="宋体" w:cs="宋体"/>
                <w:i w:val="0"/>
                <w:color w:val="000000"/>
                <w:sz w:val="18"/>
                <w:szCs w:val="18"/>
                <w:u w:val="none"/>
              </w:rPr>
            </w:pPr>
          </w:p>
        </w:tc>
      </w:tr>
      <w:tr w14:paraId="6C2AD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F001496">
            <w:pPr>
              <w:jc w:val="cente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B3D9B">
            <w:pPr>
              <w:jc w:val="center"/>
              <w:rPr>
                <w:rFonts w:hint="eastAsia" w:ascii="宋体" w:hAnsi="宋体" w:eastAsia="宋体" w:cs="宋体"/>
                <w:i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EB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C3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减轻患者负担</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109B">
            <w:pPr>
              <w:jc w:val="center"/>
              <w:rPr>
                <w:rFonts w:hint="eastAsia" w:ascii="宋体" w:hAnsi="宋体" w:eastAsia="宋体" w:cs="宋体"/>
                <w:i w:val="0"/>
                <w:color w:val="000000"/>
                <w:sz w:val="18"/>
                <w:szCs w:val="18"/>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80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减轻</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D1BE">
            <w:pPr>
              <w:jc w:val="center"/>
              <w:rPr>
                <w:rFonts w:hint="eastAsia" w:ascii="宋体" w:hAnsi="宋体" w:eastAsia="宋体" w:cs="宋体"/>
                <w:i w:val="0"/>
                <w:color w:val="000000"/>
                <w:sz w:val="18"/>
                <w:szCs w:val="18"/>
                <w:u w:val="none"/>
              </w:rPr>
            </w:pPr>
          </w:p>
        </w:tc>
      </w:tr>
      <w:tr w14:paraId="043A1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6"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F76B658">
            <w:pPr>
              <w:jc w:val="cente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383A5">
            <w:pPr>
              <w:jc w:val="center"/>
              <w:rPr>
                <w:rFonts w:hint="eastAsia" w:ascii="宋体" w:hAnsi="宋体" w:eastAsia="宋体" w:cs="宋体"/>
                <w:i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AD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环境效益指标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FFEB">
            <w:pPr>
              <w:jc w:val="center"/>
              <w:rPr>
                <w:rFonts w:hint="eastAsia" w:ascii="宋体" w:hAnsi="宋体" w:eastAsia="宋体" w:cs="宋体"/>
                <w:i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DF37">
            <w:pPr>
              <w:jc w:val="center"/>
              <w:rPr>
                <w:rFonts w:hint="eastAsia" w:ascii="宋体" w:hAnsi="宋体" w:eastAsia="宋体" w:cs="宋体"/>
                <w:i w:val="0"/>
                <w:color w:val="000000"/>
                <w:sz w:val="18"/>
                <w:szCs w:val="18"/>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60A0">
            <w:pPr>
              <w:jc w:val="center"/>
              <w:rPr>
                <w:rFonts w:hint="eastAsia" w:ascii="宋体" w:hAnsi="宋体" w:eastAsia="宋体" w:cs="宋体"/>
                <w:i w:val="0"/>
                <w:color w:val="000000"/>
                <w:sz w:val="18"/>
                <w:szCs w:val="18"/>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CE5D">
            <w:pPr>
              <w:jc w:val="center"/>
              <w:rPr>
                <w:rFonts w:hint="eastAsia" w:ascii="宋体" w:hAnsi="宋体" w:eastAsia="宋体" w:cs="宋体"/>
                <w:i w:val="0"/>
                <w:color w:val="000000"/>
                <w:sz w:val="18"/>
                <w:szCs w:val="18"/>
                <w:u w:val="none"/>
              </w:rPr>
            </w:pPr>
          </w:p>
        </w:tc>
      </w:tr>
      <w:tr w14:paraId="3446B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2C4E973">
            <w:pPr>
              <w:jc w:val="center"/>
              <w:rPr>
                <w:rFonts w:hint="eastAsia" w:ascii="宋体" w:hAnsi="宋体" w:eastAsia="宋体" w:cs="宋体"/>
                <w:i w:val="0"/>
                <w:color w:val="000000"/>
                <w:sz w:val="18"/>
                <w:szCs w:val="18"/>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11E62">
            <w:pPr>
              <w:jc w:val="center"/>
              <w:rPr>
                <w:rFonts w:hint="eastAsia" w:ascii="宋体" w:hAnsi="宋体" w:eastAsia="宋体" w:cs="宋体"/>
                <w:i w:val="0"/>
                <w:color w:val="000000"/>
                <w:sz w:val="18"/>
                <w:szCs w:val="18"/>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30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FF630">
            <w:pPr>
              <w:jc w:val="center"/>
              <w:rPr>
                <w:rFonts w:hint="eastAsia" w:ascii="宋体" w:hAnsi="宋体" w:eastAsia="宋体" w:cs="宋体"/>
                <w:i w:val="0"/>
                <w:color w:val="000000"/>
                <w:sz w:val="18"/>
                <w:szCs w:val="18"/>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3907">
            <w:pPr>
              <w:jc w:val="center"/>
              <w:rPr>
                <w:rFonts w:hint="eastAsia" w:ascii="宋体" w:hAnsi="宋体" w:eastAsia="宋体" w:cs="宋体"/>
                <w:i w:val="0"/>
                <w:color w:val="000000"/>
                <w:sz w:val="18"/>
                <w:szCs w:val="18"/>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3177">
            <w:pPr>
              <w:jc w:val="center"/>
              <w:rPr>
                <w:rFonts w:hint="eastAsia" w:ascii="宋体" w:hAnsi="宋体" w:eastAsia="宋体" w:cs="宋体"/>
                <w:i w:val="0"/>
                <w:color w:val="000000"/>
                <w:sz w:val="18"/>
                <w:szCs w:val="18"/>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F0DD">
            <w:pPr>
              <w:jc w:val="center"/>
              <w:rPr>
                <w:rFonts w:hint="eastAsia" w:ascii="宋体" w:hAnsi="宋体" w:eastAsia="宋体" w:cs="宋体"/>
                <w:i w:val="0"/>
                <w:color w:val="000000"/>
                <w:sz w:val="18"/>
                <w:szCs w:val="18"/>
                <w:u w:val="none"/>
              </w:rPr>
            </w:pPr>
          </w:p>
        </w:tc>
      </w:tr>
      <w:tr w14:paraId="773AA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2130AAB">
            <w:pPr>
              <w:jc w:val="center"/>
              <w:rPr>
                <w:rFonts w:hint="eastAsia" w:ascii="宋体" w:hAnsi="宋体" w:eastAsia="宋体" w:cs="宋体"/>
                <w:i w:val="0"/>
                <w:color w:val="000000"/>
                <w:sz w:val="18"/>
                <w:szCs w:val="18"/>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9F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66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5B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F860">
            <w:pPr>
              <w:jc w:val="center"/>
              <w:rPr>
                <w:rFonts w:hint="eastAsia" w:ascii="宋体" w:hAnsi="宋体" w:eastAsia="宋体" w:cs="宋体"/>
                <w:i w:val="0"/>
                <w:color w:val="000000"/>
                <w:sz w:val="18"/>
                <w:szCs w:val="18"/>
                <w:u w:val="none"/>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AF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C010">
            <w:pPr>
              <w:jc w:val="center"/>
              <w:rPr>
                <w:rFonts w:hint="eastAsia" w:ascii="宋体" w:hAnsi="宋体" w:eastAsia="宋体" w:cs="宋体"/>
                <w:i w:val="0"/>
                <w:color w:val="000000"/>
                <w:sz w:val="18"/>
                <w:szCs w:val="18"/>
                <w:u w:val="none"/>
              </w:rPr>
            </w:pPr>
          </w:p>
        </w:tc>
      </w:tr>
      <w:tr w14:paraId="2A50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4" w:hRule="atLeast"/>
        </w:trPr>
        <w:tc>
          <w:tcPr>
            <w:tcW w:w="41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CF193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财政资金管理科室（盖章）</w:t>
            </w:r>
          </w:p>
          <w:p w14:paraId="461EFF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    月     日</w:t>
            </w:r>
          </w:p>
        </w:tc>
        <w:tc>
          <w:tcPr>
            <w:tcW w:w="4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6B26A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财政绩效管理科室（盖章）</w:t>
            </w:r>
          </w:p>
          <w:p w14:paraId="7716D1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    月     日</w:t>
            </w:r>
          </w:p>
        </w:tc>
      </w:tr>
    </w:tbl>
    <w:p w14:paraId="28D7B2B7">
      <w:pPr>
        <w:pStyle w:val="6"/>
        <w:keepNext w:val="0"/>
        <w:keepLines w:val="0"/>
        <w:pageBreakBefore w:val="0"/>
        <w:widowControl w:val="0"/>
        <w:numPr>
          <w:ilvl w:val="0"/>
          <w:numId w:val="0"/>
        </w:numPr>
        <w:kinsoku/>
        <w:wordWrap/>
        <w:overflowPunct/>
        <w:topLinePunct w:val="0"/>
        <w:autoSpaceDE/>
        <w:autoSpaceDN/>
        <w:bidi w:val="0"/>
        <w:spacing w:line="460" w:lineRule="atLeast"/>
        <w:jc w:val="both"/>
        <w:textAlignment w:val="auto"/>
        <w:rPr>
          <w:rFonts w:hint="eastAsia" w:ascii="仿宋_GB2312" w:eastAsia="仿宋_GB2312"/>
          <w:b/>
          <w:bCs/>
          <w:color w:val="000000"/>
          <w:sz w:val="36"/>
          <w:szCs w:val="36"/>
          <w:highlight w:val="none"/>
          <w:lang w:val="en-US" w:eastAsia="zh-CN"/>
        </w:rPr>
      </w:pPr>
    </w:p>
    <w:p w14:paraId="3FF0F55E">
      <w:pPr>
        <w:pStyle w:val="6"/>
        <w:keepNext w:val="0"/>
        <w:keepLines w:val="0"/>
        <w:pageBreakBefore w:val="0"/>
        <w:widowControl w:val="0"/>
        <w:numPr>
          <w:ilvl w:val="0"/>
          <w:numId w:val="0"/>
        </w:numPr>
        <w:kinsoku/>
        <w:wordWrap/>
        <w:overflowPunct/>
        <w:topLinePunct w:val="0"/>
        <w:autoSpaceDE/>
        <w:autoSpaceDN/>
        <w:bidi w:val="0"/>
        <w:spacing w:line="460" w:lineRule="atLeast"/>
        <w:jc w:val="both"/>
        <w:textAlignment w:val="auto"/>
        <w:rPr>
          <w:rFonts w:hint="eastAsia" w:ascii="仿宋_GB2312" w:eastAsia="仿宋_GB2312"/>
          <w:b/>
          <w:bCs/>
          <w:color w:val="000000"/>
          <w:sz w:val="36"/>
          <w:szCs w:val="36"/>
          <w:highlight w:val="none"/>
          <w:lang w:val="en-US" w:eastAsia="zh-CN"/>
        </w:rPr>
      </w:pPr>
    </w:p>
    <w:p w14:paraId="44847ABA">
      <w:pPr>
        <w:pStyle w:val="6"/>
        <w:keepNext w:val="0"/>
        <w:keepLines w:val="0"/>
        <w:pageBreakBefore w:val="0"/>
        <w:widowControl w:val="0"/>
        <w:numPr>
          <w:ilvl w:val="0"/>
          <w:numId w:val="0"/>
        </w:numPr>
        <w:kinsoku/>
        <w:wordWrap/>
        <w:overflowPunct/>
        <w:topLinePunct w:val="0"/>
        <w:autoSpaceDE/>
        <w:autoSpaceDN/>
        <w:bidi w:val="0"/>
        <w:spacing w:line="460" w:lineRule="atLeast"/>
        <w:jc w:val="both"/>
        <w:textAlignment w:val="auto"/>
        <w:rPr>
          <w:rFonts w:hint="eastAsia" w:ascii="仿宋_GB2312" w:eastAsia="仿宋_GB2312"/>
          <w:b/>
          <w:bCs/>
          <w:color w:val="000000"/>
          <w:sz w:val="36"/>
          <w:szCs w:val="36"/>
          <w:highlight w:val="none"/>
          <w:lang w:val="en-US" w:eastAsia="zh-CN"/>
        </w:rPr>
      </w:pPr>
    </w:p>
    <w:p w14:paraId="3F739FA8">
      <w:pPr>
        <w:pStyle w:val="6"/>
        <w:keepNext w:val="0"/>
        <w:keepLines w:val="0"/>
        <w:pageBreakBefore w:val="0"/>
        <w:widowControl w:val="0"/>
        <w:numPr>
          <w:ilvl w:val="0"/>
          <w:numId w:val="0"/>
        </w:numPr>
        <w:kinsoku/>
        <w:wordWrap/>
        <w:overflowPunct/>
        <w:topLinePunct w:val="0"/>
        <w:autoSpaceDE/>
        <w:autoSpaceDN/>
        <w:bidi w:val="0"/>
        <w:spacing w:line="460" w:lineRule="atLeast"/>
        <w:jc w:val="both"/>
        <w:textAlignment w:val="auto"/>
        <w:rPr>
          <w:rFonts w:hint="eastAsia" w:ascii="仿宋_GB2312" w:eastAsia="仿宋_GB2312"/>
          <w:b/>
          <w:bCs/>
          <w:color w:val="000000"/>
          <w:sz w:val="36"/>
          <w:szCs w:val="36"/>
          <w:highlight w:val="none"/>
          <w:lang w:val="en-US" w:eastAsia="zh-CN"/>
        </w:rPr>
      </w:pPr>
    </w:p>
    <w:tbl>
      <w:tblPr>
        <w:tblStyle w:val="3"/>
        <w:tblW w:w="8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57"/>
        <w:gridCol w:w="1043"/>
        <w:gridCol w:w="946"/>
        <w:gridCol w:w="1539"/>
        <w:gridCol w:w="1339"/>
        <w:gridCol w:w="1592"/>
        <w:gridCol w:w="1564"/>
      </w:tblGrid>
      <w:tr w14:paraId="1643F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3" w:hRule="atLeast"/>
        </w:trPr>
        <w:tc>
          <w:tcPr>
            <w:tcW w:w="8380" w:type="dxa"/>
            <w:gridSpan w:val="7"/>
            <w:shd w:val="clear" w:color="auto" w:fill="auto"/>
            <w:vAlign w:val="center"/>
          </w:tcPr>
          <w:p w14:paraId="2B491A9E">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项目支出绩效目标批复表</w:t>
            </w:r>
          </w:p>
        </w:tc>
      </w:tr>
      <w:tr w14:paraId="035F6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6" w:hRule="atLeast"/>
        </w:trPr>
        <w:tc>
          <w:tcPr>
            <w:tcW w:w="8380" w:type="dxa"/>
            <w:gridSpan w:val="7"/>
            <w:shd w:val="clear" w:color="auto" w:fill="auto"/>
            <w:vAlign w:val="center"/>
          </w:tcPr>
          <w:p w14:paraId="7EBDCB4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14:paraId="1B57C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26" w:hRule="atLeast"/>
        </w:trPr>
        <w:tc>
          <w:tcPr>
            <w:tcW w:w="8380" w:type="dxa"/>
            <w:gridSpan w:val="7"/>
            <w:tcBorders>
              <w:bottom w:val="single" w:color="000000" w:sz="4" w:space="0"/>
            </w:tcBorders>
            <w:shd w:val="clear" w:color="auto" w:fill="auto"/>
            <w:vAlign w:val="center"/>
          </w:tcPr>
          <w:p w14:paraId="4902CC41">
            <w:pPr>
              <w:jc w:val="left"/>
              <w:rPr>
                <w:rFonts w:hint="eastAsia" w:ascii="宋体" w:hAnsi="宋体" w:eastAsia="宋体" w:cs="宋体"/>
                <w:i w:val="0"/>
                <w:color w:val="000000"/>
                <w:sz w:val="22"/>
                <w:szCs w:val="22"/>
                <w:u w:val="none"/>
              </w:rPr>
            </w:pPr>
          </w:p>
        </w:tc>
      </w:tr>
      <w:tr w14:paraId="6EDC5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5" w:hRule="atLeast"/>
        </w:trPr>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405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45C8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公立医院改革补助经费</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44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项目负责人</w:t>
            </w:r>
          </w:p>
        </w:tc>
        <w:tc>
          <w:tcPr>
            <w:tcW w:w="3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28C69">
            <w:pPr>
              <w:jc w:val="center"/>
              <w:rPr>
                <w:rFonts w:hint="eastAsia" w:ascii="宋体" w:hAnsi="宋体" w:eastAsia="宋体" w:cs="宋体"/>
                <w:i w:val="0"/>
                <w:color w:val="000000"/>
                <w:sz w:val="18"/>
                <w:szCs w:val="18"/>
                <w:u w:val="none"/>
              </w:rPr>
            </w:pPr>
          </w:p>
        </w:tc>
      </w:tr>
      <w:tr w14:paraId="13894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2" w:hRule="atLeast"/>
        </w:trPr>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B53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项目金额</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E871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3200万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57E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其中：当年市级财政资金</w:t>
            </w:r>
          </w:p>
        </w:tc>
        <w:tc>
          <w:tcPr>
            <w:tcW w:w="31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1FCD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3200万</w:t>
            </w:r>
          </w:p>
        </w:tc>
      </w:tr>
      <w:tr w14:paraId="0F50D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5" w:hRule="atLeast"/>
        </w:trPr>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D94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项目主管部门</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A99C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黄石市卫生健康委员会</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A1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15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485F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黄石市卫生健康委员会</w:t>
            </w:r>
          </w:p>
        </w:tc>
      </w:tr>
      <w:tr w14:paraId="5451A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5" w:hRule="atLeast"/>
        </w:trPr>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8D89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项目属性</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ECCC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持续性项目口    新增性项目■</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67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项目期</w:t>
            </w:r>
          </w:p>
        </w:tc>
        <w:tc>
          <w:tcPr>
            <w:tcW w:w="31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5BC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w:t>
            </w:r>
          </w:p>
        </w:tc>
      </w:tr>
      <w:tr w14:paraId="5BCC7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2" w:hRule="atLeast"/>
        </w:trPr>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085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年度绩效目标    （文字）</w:t>
            </w:r>
          </w:p>
        </w:tc>
        <w:tc>
          <w:tcPr>
            <w:tcW w:w="69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8936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深化公立医院综合改革，建立健全现代医院管理制度，协调推进医疗价格、人事薪酬、药品流通，医保支付，提高医疗卫生服务质量</w:t>
            </w:r>
          </w:p>
        </w:tc>
      </w:tr>
      <w:tr w14:paraId="101E4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9" w:hRule="atLeast"/>
        </w:trPr>
        <w:tc>
          <w:tcPr>
            <w:tcW w:w="357"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36E33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855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E664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255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FDC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D6D8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指标标准或依据</w:t>
            </w:r>
          </w:p>
        </w:tc>
      </w:tr>
      <w:tr w14:paraId="77C71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7"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9E188F9">
            <w:pPr>
              <w:jc w:val="center"/>
              <w:rPr>
                <w:rFonts w:hint="eastAsia" w:ascii="宋体" w:hAnsi="宋体" w:eastAsia="宋体" w:cs="宋体"/>
                <w:i w:val="0"/>
                <w:color w:val="000000"/>
                <w:sz w:val="18"/>
                <w:szCs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76AEB">
            <w:pPr>
              <w:jc w:val="center"/>
              <w:rPr>
                <w:rFonts w:hint="eastAsia" w:ascii="宋体" w:hAnsi="宋体" w:eastAsia="宋体" w:cs="宋体"/>
                <w:i w:val="0"/>
                <w:color w:val="000000"/>
                <w:sz w:val="18"/>
                <w:szCs w:val="18"/>
                <w:u w:val="none"/>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44821">
            <w:pPr>
              <w:jc w:val="center"/>
              <w:rPr>
                <w:rFonts w:hint="eastAsia" w:ascii="宋体" w:hAnsi="宋体" w:eastAsia="宋体" w:cs="宋体"/>
                <w:i w:val="0"/>
                <w:color w:val="000000"/>
                <w:sz w:val="18"/>
                <w:szCs w:val="18"/>
                <w:u w:val="none"/>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15F2A">
            <w:pPr>
              <w:jc w:val="center"/>
              <w:rPr>
                <w:rFonts w:hint="eastAsia" w:ascii="宋体" w:hAnsi="宋体" w:eastAsia="宋体" w:cs="宋体"/>
                <w:i w:val="0"/>
                <w:color w:val="000000"/>
                <w:sz w:val="18"/>
                <w:szCs w:val="18"/>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A6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2023年实际实现值</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54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预期2024年实现值</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19CDC">
            <w:pPr>
              <w:jc w:val="center"/>
              <w:rPr>
                <w:rFonts w:hint="eastAsia" w:ascii="宋体" w:hAnsi="宋体" w:eastAsia="宋体" w:cs="宋体"/>
                <w:i w:val="0"/>
                <w:color w:val="000000"/>
                <w:sz w:val="18"/>
                <w:szCs w:val="18"/>
                <w:u w:val="none"/>
              </w:rPr>
            </w:pPr>
          </w:p>
        </w:tc>
      </w:tr>
      <w:tr w14:paraId="029BC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25"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5CA360C">
            <w:pPr>
              <w:jc w:val="center"/>
              <w:rPr>
                <w:rFonts w:hint="eastAsia" w:ascii="宋体" w:hAnsi="宋体" w:eastAsia="宋体" w:cs="宋体"/>
                <w:i w:val="0"/>
                <w:color w:val="000000"/>
                <w:sz w:val="18"/>
                <w:szCs w:val="18"/>
                <w:u w:val="none"/>
              </w:rPr>
            </w:pPr>
          </w:p>
        </w:tc>
        <w:tc>
          <w:tcPr>
            <w:tcW w:w="1043" w:type="dxa"/>
            <w:vMerge w:val="restart"/>
            <w:tcBorders>
              <w:top w:val="single" w:color="000000" w:sz="4" w:space="0"/>
              <w:left w:val="single" w:color="000000" w:sz="4" w:space="0"/>
              <w:right w:val="single" w:color="000000" w:sz="4" w:space="0"/>
            </w:tcBorders>
            <w:shd w:val="clear" w:color="auto" w:fill="auto"/>
            <w:vAlign w:val="center"/>
          </w:tcPr>
          <w:p w14:paraId="3D006A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946" w:type="dxa"/>
            <w:vMerge w:val="restart"/>
            <w:tcBorders>
              <w:top w:val="single" w:color="000000" w:sz="4" w:space="0"/>
              <w:left w:val="single" w:color="000000" w:sz="4" w:space="0"/>
              <w:right w:val="single" w:color="000000" w:sz="4" w:space="0"/>
            </w:tcBorders>
            <w:shd w:val="clear" w:color="auto" w:fill="auto"/>
            <w:vAlign w:val="center"/>
          </w:tcPr>
          <w:p w14:paraId="7E0B87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539" w:type="dxa"/>
            <w:tcBorders>
              <w:top w:val="single" w:color="000000" w:sz="4" w:space="0"/>
              <w:left w:val="single" w:color="000000" w:sz="4" w:space="0"/>
              <w:right w:val="single" w:color="000000" w:sz="4" w:space="0"/>
            </w:tcBorders>
            <w:shd w:val="clear" w:color="auto" w:fill="auto"/>
            <w:vAlign w:val="center"/>
          </w:tcPr>
          <w:p w14:paraId="424D4E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医疗服务（不含药品、耗材、检查、化验收入）占公立医院收入的比例</w:t>
            </w:r>
          </w:p>
        </w:tc>
        <w:tc>
          <w:tcPr>
            <w:tcW w:w="1339" w:type="dxa"/>
            <w:tcBorders>
              <w:top w:val="single" w:color="000000" w:sz="4" w:space="0"/>
              <w:left w:val="single" w:color="000000" w:sz="4" w:space="0"/>
              <w:right w:val="single" w:color="000000" w:sz="4" w:space="0"/>
            </w:tcBorders>
            <w:shd w:val="clear" w:color="auto" w:fill="auto"/>
            <w:vAlign w:val="center"/>
          </w:tcPr>
          <w:p w14:paraId="7F58707C">
            <w:pPr>
              <w:jc w:val="center"/>
              <w:rPr>
                <w:rFonts w:hint="eastAsia" w:ascii="宋体" w:hAnsi="宋体" w:eastAsia="宋体" w:cs="宋体"/>
                <w:i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C2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较上年上升</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1A88">
            <w:pPr>
              <w:jc w:val="center"/>
              <w:rPr>
                <w:rFonts w:hint="eastAsia" w:ascii="宋体" w:hAnsi="宋体" w:eastAsia="宋体" w:cs="宋体"/>
                <w:i w:val="0"/>
                <w:color w:val="000000"/>
                <w:sz w:val="18"/>
                <w:szCs w:val="18"/>
                <w:u w:val="none"/>
              </w:rPr>
            </w:pPr>
          </w:p>
        </w:tc>
      </w:tr>
      <w:tr w14:paraId="7C067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1"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F75DC1B">
            <w:pPr>
              <w:jc w:val="center"/>
              <w:rPr>
                <w:rFonts w:hint="eastAsia" w:ascii="宋体" w:hAnsi="宋体" w:eastAsia="宋体" w:cs="宋体"/>
                <w:i w:val="0"/>
                <w:color w:val="000000"/>
                <w:sz w:val="18"/>
                <w:szCs w:val="18"/>
                <w:u w:val="none"/>
              </w:rPr>
            </w:pPr>
          </w:p>
        </w:tc>
        <w:tc>
          <w:tcPr>
            <w:tcW w:w="1043" w:type="dxa"/>
            <w:vMerge w:val="continue"/>
            <w:tcBorders>
              <w:top w:val="single" w:color="000000" w:sz="4" w:space="0"/>
              <w:left w:val="single" w:color="000000" w:sz="4" w:space="0"/>
              <w:right w:val="single" w:color="000000" w:sz="4" w:space="0"/>
            </w:tcBorders>
            <w:shd w:val="clear" w:color="auto" w:fill="auto"/>
            <w:vAlign w:val="center"/>
          </w:tcPr>
          <w:p w14:paraId="7217CD93">
            <w:pPr>
              <w:jc w:val="center"/>
              <w:rPr>
                <w:rFonts w:hint="eastAsia" w:ascii="宋体" w:hAnsi="宋体" w:eastAsia="宋体" w:cs="宋体"/>
                <w:i w:val="0"/>
                <w:color w:val="000000"/>
                <w:sz w:val="18"/>
                <w:szCs w:val="18"/>
                <w:u w:val="none"/>
              </w:rPr>
            </w:pPr>
          </w:p>
        </w:tc>
        <w:tc>
          <w:tcPr>
            <w:tcW w:w="946" w:type="dxa"/>
            <w:vMerge w:val="continue"/>
            <w:tcBorders>
              <w:top w:val="single" w:color="000000" w:sz="4" w:space="0"/>
              <w:left w:val="single" w:color="000000" w:sz="4" w:space="0"/>
              <w:right w:val="single" w:color="000000" w:sz="4" w:space="0"/>
            </w:tcBorders>
            <w:shd w:val="clear" w:color="auto" w:fill="auto"/>
            <w:vAlign w:val="center"/>
          </w:tcPr>
          <w:p w14:paraId="4FB217AE">
            <w:pPr>
              <w:jc w:val="center"/>
              <w:rPr>
                <w:rFonts w:hint="eastAsia" w:ascii="宋体" w:hAnsi="宋体" w:eastAsia="宋体" w:cs="宋体"/>
                <w:i w:val="0"/>
                <w:color w:val="000000"/>
                <w:sz w:val="18"/>
                <w:szCs w:val="18"/>
                <w:u w:val="none"/>
              </w:rPr>
            </w:pPr>
          </w:p>
        </w:tc>
        <w:tc>
          <w:tcPr>
            <w:tcW w:w="1539" w:type="dxa"/>
            <w:tcBorders>
              <w:top w:val="single" w:color="000000" w:sz="4" w:space="0"/>
              <w:left w:val="single" w:color="000000" w:sz="4" w:space="0"/>
              <w:right w:val="single" w:color="000000" w:sz="4" w:space="0"/>
            </w:tcBorders>
            <w:shd w:val="clear" w:color="auto" w:fill="auto"/>
            <w:vAlign w:val="center"/>
          </w:tcPr>
          <w:p w14:paraId="298A37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公立医院资产负债率</w:t>
            </w:r>
          </w:p>
        </w:tc>
        <w:tc>
          <w:tcPr>
            <w:tcW w:w="1339" w:type="dxa"/>
            <w:tcBorders>
              <w:top w:val="single" w:color="000000" w:sz="4" w:space="0"/>
              <w:left w:val="single" w:color="000000" w:sz="4" w:space="0"/>
              <w:right w:val="single" w:color="000000" w:sz="4" w:space="0"/>
            </w:tcBorders>
            <w:shd w:val="clear" w:color="auto" w:fill="auto"/>
            <w:vAlign w:val="center"/>
          </w:tcPr>
          <w:p w14:paraId="3FE1E149">
            <w:pPr>
              <w:jc w:val="center"/>
              <w:rPr>
                <w:rFonts w:hint="eastAsia" w:ascii="宋体" w:hAnsi="宋体" w:eastAsia="宋体" w:cs="宋体"/>
                <w:i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CD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较上年降低</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6E58">
            <w:pPr>
              <w:jc w:val="center"/>
              <w:rPr>
                <w:rFonts w:hint="eastAsia" w:ascii="宋体" w:hAnsi="宋体" w:eastAsia="宋体" w:cs="宋体"/>
                <w:i w:val="0"/>
                <w:color w:val="000000"/>
                <w:sz w:val="18"/>
                <w:szCs w:val="18"/>
                <w:u w:val="none"/>
              </w:rPr>
            </w:pPr>
          </w:p>
        </w:tc>
      </w:tr>
      <w:tr w14:paraId="7DF06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2"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F8C429D">
            <w:pPr>
              <w:jc w:val="center"/>
              <w:rPr>
                <w:rFonts w:hint="eastAsia" w:ascii="宋体" w:hAnsi="宋体" w:eastAsia="宋体" w:cs="宋体"/>
                <w:i w:val="0"/>
                <w:color w:val="000000"/>
                <w:sz w:val="18"/>
                <w:szCs w:val="18"/>
                <w:u w:val="none"/>
              </w:rPr>
            </w:pPr>
          </w:p>
        </w:tc>
        <w:tc>
          <w:tcPr>
            <w:tcW w:w="1043" w:type="dxa"/>
            <w:vMerge w:val="continue"/>
            <w:tcBorders>
              <w:top w:val="single" w:color="000000" w:sz="4" w:space="0"/>
              <w:left w:val="single" w:color="000000" w:sz="4" w:space="0"/>
              <w:right w:val="single" w:color="000000" w:sz="4" w:space="0"/>
            </w:tcBorders>
            <w:shd w:val="clear" w:color="auto" w:fill="auto"/>
            <w:vAlign w:val="center"/>
          </w:tcPr>
          <w:p w14:paraId="4F4E4004">
            <w:pPr>
              <w:jc w:val="center"/>
              <w:rPr>
                <w:rFonts w:hint="eastAsia" w:ascii="宋体" w:hAnsi="宋体" w:eastAsia="宋体" w:cs="宋体"/>
                <w:i w:val="0"/>
                <w:color w:val="000000"/>
                <w:sz w:val="18"/>
                <w:szCs w:val="18"/>
                <w:u w:val="none"/>
              </w:rPr>
            </w:pPr>
          </w:p>
        </w:tc>
        <w:tc>
          <w:tcPr>
            <w:tcW w:w="946" w:type="dxa"/>
            <w:vMerge w:val="continue"/>
            <w:tcBorders>
              <w:top w:val="single" w:color="000000" w:sz="4" w:space="0"/>
              <w:left w:val="single" w:color="000000" w:sz="4" w:space="0"/>
              <w:right w:val="single" w:color="000000" w:sz="4" w:space="0"/>
            </w:tcBorders>
            <w:shd w:val="clear" w:color="auto" w:fill="auto"/>
            <w:vAlign w:val="center"/>
          </w:tcPr>
          <w:p w14:paraId="61B143EA">
            <w:pPr>
              <w:jc w:val="center"/>
              <w:rPr>
                <w:rFonts w:hint="eastAsia" w:ascii="宋体" w:hAnsi="宋体" w:eastAsia="宋体" w:cs="宋体"/>
                <w:i w:val="0"/>
                <w:color w:val="000000"/>
                <w:sz w:val="18"/>
                <w:szCs w:val="18"/>
                <w:u w:val="none"/>
              </w:rPr>
            </w:pPr>
          </w:p>
        </w:tc>
        <w:tc>
          <w:tcPr>
            <w:tcW w:w="1539" w:type="dxa"/>
            <w:tcBorders>
              <w:top w:val="single" w:color="000000" w:sz="4" w:space="0"/>
              <w:left w:val="single" w:color="000000" w:sz="4" w:space="0"/>
              <w:right w:val="single" w:color="000000" w:sz="4" w:space="0"/>
            </w:tcBorders>
            <w:shd w:val="clear" w:color="auto" w:fill="auto"/>
            <w:vAlign w:val="center"/>
          </w:tcPr>
          <w:p w14:paraId="30D377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住院次均费用增幅</w:t>
            </w:r>
          </w:p>
        </w:tc>
        <w:tc>
          <w:tcPr>
            <w:tcW w:w="1339" w:type="dxa"/>
            <w:tcBorders>
              <w:top w:val="single" w:color="000000" w:sz="4" w:space="0"/>
              <w:left w:val="single" w:color="000000" w:sz="4" w:space="0"/>
              <w:right w:val="single" w:color="000000" w:sz="4" w:space="0"/>
            </w:tcBorders>
            <w:shd w:val="clear" w:color="auto" w:fill="auto"/>
            <w:vAlign w:val="center"/>
          </w:tcPr>
          <w:p w14:paraId="73C91CFB">
            <w:pPr>
              <w:jc w:val="center"/>
              <w:rPr>
                <w:rFonts w:hint="eastAsia" w:ascii="宋体" w:hAnsi="宋体" w:eastAsia="宋体" w:cs="宋体"/>
                <w:i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2D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较上年降低</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957F">
            <w:pPr>
              <w:jc w:val="center"/>
              <w:rPr>
                <w:rFonts w:hint="eastAsia" w:ascii="宋体" w:hAnsi="宋体" w:eastAsia="宋体" w:cs="宋体"/>
                <w:i w:val="0"/>
                <w:color w:val="000000"/>
                <w:sz w:val="18"/>
                <w:szCs w:val="18"/>
                <w:u w:val="none"/>
              </w:rPr>
            </w:pPr>
          </w:p>
        </w:tc>
      </w:tr>
      <w:tr w14:paraId="6EF8B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9"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7479144">
            <w:pPr>
              <w:jc w:val="center"/>
              <w:rPr>
                <w:rFonts w:hint="eastAsia" w:ascii="宋体" w:hAnsi="宋体" w:eastAsia="宋体" w:cs="宋体"/>
                <w:i w:val="0"/>
                <w:color w:val="000000"/>
                <w:sz w:val="18"/>
                <w:szCs w:val="18"/>
                <w:u w:val="none"/>
              </w:rPr>
            </w:pPr>
          </w:p>
        </w:tc>
        <w:tc>
          <w:tcPr>
            <w:tcW w:w="1043" w:type="dxa"/>
            <w:vMerge w:val="continue"/>
            <w:tcBorders>
              <w:top w:val="single" w:color="000000" w:sz="4" w:space="0"/>
              <w:left w:val="single" w:color="000000" w:sz="4" w:space="0"/>
              <w:right w:val="single" w:color="000000" w:sz="4" w:space="0"/>
            </w:tcBorders>
            <w:shd w:val="clear" w:color="auto" w:fill="auto"/>
            <w:vAlign w:val="center"/>
          </w:tcPr>
          <w:p w14:paraId="3EB83266">
            <w:pPr>
              <w:jc w:val="center"/>
              <w:rPr>
                <w:rFonts w:hint="eastAsia" w:ascii="宋体" w:hAnsi="宋体" w:eastAsia="宋体" w:cs="宋体"/>
                <w:i w:val="0"/>
                <w:color w:val="000000"/>
                <w:sz w:val="18"/>
                <w:szCs w:val="18"/>
                <w:u w:val="none"/>
              </w:rPr>
            </w:pPr>
          </w:p>
        </w:tc>
        <w:tc>
          <w:tcPr>
            <w:tcW w:w="946" w:type="dxa"/>
            <w:vMerge w:val="continue"/>
            <w:tcBorders>
              <w:top w:val="single" w:color="000000" w:sz="4" w:space="0"/>
              <w:left w:val="single" w:color="000000" w:sz="4" w:space="0"/>
              <w:right w:val="single" w:color="000000" w:sz="4" w:space="0"/>
            </w:tcBorders>
            <w:shd w:val="clear" w:color="auto" w:fill="auto"/>
            <w:vAlign w:val="center"/>
          </w:tcPr>
          <w:p w14:paraId="518310BE">
            <w:pPr>
              <w:jc w:val="center"/>
              <w:rPr>
                <w:rFonts w:hint="eastAsia" w:ascii="宋体" w:hAnsi="宋体" w:eastAsia="宋体" w:cs="宋体"/>
                <w:i w:val="0"/>
                <w:color w:val="000000"/>
                <w:sz w:val="18"/>
                <w:szCs w:val="18"/>
                <w:u w:val="none"/>
              </w:rPr>
            </w:pPr>
          </w:p>
        </w:tc>
        <w:tc>
          <w:tcPr>
            <w:tcW w:w="1539" w:type="dxa"/>
            <w:tcBorders>
              <w:top w:val="single" w:color="000000" w:sz="4" w:space="0"/>
              <w:left w:val="single" w:color="000000" w:sz="4" w:space="0"/>
              <w:right w:val="single" w:color="000000" w:sz="4" w:space="0"/>
            </w:tcBorders>
            <w:shd w:val="clear" w:color="auto" w:fill="auto"/>
            <w:vAlign w:val="center"/>
          </w:tcPr>
          <w:p w14:paraId="3419E2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120急救中心应急管理</w:t>
            </w:r>
          </w:p>
        </w:tc>
        <w:tc>
          <w:tcPr>
            <w:tcW w:w="1339" w:type="dxa"/>
            <w:tcBorders>
              <w:top w:val="single" w:color="000000" w:sz="4" w:space="0"/>
              <w:left w:val="single" w:color="000000" w:sz="4" w:space="0"/>
              <w:right w:val="single" w:color="000000" w:sz="4" w:space="0"/>
            </w:tcBorders>
            <w:shd w:val="clear" w:color="auto" w:fill="auto"/>
            <w:vAlign w:val="center"/>
          </w:tcPr>
          <w:p w14:paraId="5BB41C40">
            <w:pPr>
              <w:jc w:val="center"/>
              <w:rPr>
                <w:rFonts w:hint="eastAsia" w:ascii="宋体" w:hAnsi="宋体" w:eastAsia="宋体" w:cs="宋体"/>
                <w:i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71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较上年提高</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73F4">
            <w:pPr>
              <w:jc w:val="center"/>
              <w:rPr>
                <w:rFonts w:hint="eastAsia" w:ascii="宋体" w:hAnsi="宋体" w:eastAsia="宋体" w:cs="宋体"/>
                <w:i w:val="0"/>
                <w:color w:val="000000"/>
                <w:sz w:val="18"/>
                <w:szCs w:val="18"/>
                <w:u w:val="none"/>
              </w:rPr>
            </w:pPr>
          </w:p>
        </w:tc>
      </w:tr>
      <w:tr w14:paraId="01B7F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2"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CC77DDF">
            <w:pPr>
              <w:jc w:val="center"/>
              <w:rPr>
                <w:rFonts w:hint="eastAsia" w:ascii="宋体" w:hAnsi="宋体" w:eastAsia="宋体" w:cs="宋体"/>
                <w:i w:val="0"/>
                <w:color w:val="000000"/>
                <w:sz w:val="18"/>
                <w:szCs w:val="18"/>
                <w:u w:val="none"/>
              </w:rPr>
            </w:pPr>
          </w:p>
        </w:tc>
        <w:tc>
          <w:tcPr>
            <w:tcW w:w="1043" w:type="dxa"/>
            <w:vMerge w:val="continue"/>
            <w:tcBorders>
              <w:top w:val="single" w:color="000000" w:sz="4" w:space="0"/>
              <w:left w:val="single" w:color="000000" w:sz="4" w:space="0"/>
              <w:right w:val="single" w:color="000000" w:sz="4" w:space="0"/>
            </w:tcBorders>
            <w:shd w:val="clear" w:color="auto" w:fill="auto"/>
            <w:vAlign w:val="center"/>
          </w:tcPr>
          <w:p w14:paraId="00DFC234">
            <w:pPr>
              <w:jc w:val="center"/>
              <w:rPr>
                <w:rFonts w:hint="eastAsia" w:ascii="宋体" w:hAnsi="宋体" w:eastAsia="宋体" w:cs="宋体"/>
                <w:i w:val="0"/>
                <w:color w:val="000000"/>
                <w:sz w:val="18"/>
                <w:szCs w:val="18"/>
                <w:u w:val="none"/>
              </w:rPr>
            </w:pPr>
          </w:p>
        </w:tc>
        <w:tc>
          <w:tcPr>
            <w:tcW w:w="946" w:type="dxa"/>
            <w:vMerge w:val="restart"/>
            <w:tcBorders>
              <w:top w:val="single" w:color="000000" w:sz="4" w:space="0"/>
              <w:left w:val="single" w:color="000000" w:sz="4" w:space="0"/>
              <w:right w:val="single" w:color="000000" w:sz="4" w:space="0"/>
            </w:tcBorders>
            <w:shd w:val="clear" w:color="auto" w:fill="auto"/>
            <w:vAlign w:val="center"/>
          </w:tcPr>
          <w:p w14:paraId="6096ED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AC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三级公立医院出院患者手术占比</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EE57">
            <w:pPr>
              <w:jc w:val="center"/>
              <w:rPr>
                <w:rFonts w:hint="eastAsia" w:ascii="宋体" w:hAnsi="宋体" w:eastAsia="宋体" w:cs="宋体"/>
                <w:i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A3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较上年提高</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22F2">
            <w:pPr>
              <w:jc w:val="center"/>
              <w:rPr>
                <w:rFonts w:hint="eastAsia" w:ascii="宋体" w:hAnsi="宋体" w:eastAsia="宋体" w:cs="宋体"/>
                <w:i w:val="0"/>
                <w:color w:val="000000"/>
                <w:sz w:val="18"/>
                <w:szCs w:val="18"/>
                <w:u w:val="none"/>
              </w:rPr>
            </w:pPr>
          </w:p>
        </w:tc>
      </w:tr>
      <w:tr w14:paraId="74820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1"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A14B071">
            <w:pPr>
              <w:jc w:val="center"/>
              <w:rPr>
                <w:rFonts w:hint="eastAsia" w:ascii="宋体" w:hAnsi="宋体" w:eastAsia="宋体" w:cs="宋体"/>
                <w:i w:val="0"/>
                <w:color w:val="000000"/>
                <w:sz w:val="18"/>
                <w:szCs w:val="18"/>
                <w:u w:val="none"/>
              </w:rPr>
            </w:pPr>
          </w:p>
        </w:tc>
        <w:tc>
          <w:tcPr>
            <w:tcW w:w="1043" w:type="dxa"/>
            <w:vMerge w:val="continue"/>
            <w:tcBorders>
              <w:top w:val="single" w:color="000000" w:sz="4" w:space="0"/>
              <w:left w:val="single" w:color="000000" w:sz="4" w:space="0"/>
              <w:right w:val="single" w:color="000000" w:sz="4" w:space="0"/>
            </w:tcBorders>
            <w:shd w:val="clear" w:color="auto" w:fill="auto"/>
            <w:vAlign w:val="center"/>
          </w:tcPr>
          <w:p w14:paraId="10B4CDE7">
            <w:pPr>
              <w:jc w:val="center"/>
              <w:rPr>
                <w:rFonts w:hint="eastAsia" w:ascii="宋体" w:hAnsi="宋体" w:eastAsia="宋体" w:cs="宋体"/>
                <w:i w:val="0"/>
                <w:color w:val="000000"/>
                <w:sz w:val="18"/>
                <w:szCs w:val="18"/>
                <w:u w:val="none"/>
              </w:rPr>
            </w:pPr>
          </w:p>
        </w:tc>
        <w:tc>
          <w:tcPr>
            <w:tcW w:w="946" w:type="dxa"/>
            <w:vMerge w:val="continue"/>
            <w:tcBorders>
              <w:top w:val="single" w:color="000000" w:sz="4" w:space="0"/>
              <w:left w:val="single" w:color="000000" w:sz="4" w:space="0"/>
              <w:right w:val="single" w:color="000000" w:sz="4" w:space="0"/>
            </w:tcBorders>
            <w:shd w:val="clear" w:color="auto" w:fill="auto"/>
            <w:vAlign w:val="center"/>
          </w:tcPr>
          <w:p w14:paraId="0B8F6F80">
            <w:pPr>
              <w:jc w:val="center"/>
              <w:rPr>
                <w:rFonts w:hint="eastAsia" w:ascii="宋体" w:hAnsi="宋体" w:eastAsia="宋体" w:cs="宋体"/>
                <w:i w:val="0"/>
                <w:color w:val="000000"/>
                <w:sz w:val="18"/>
                <w:szCs w:val="18"/>
                <w:u w:val="none"/>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1E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公立医院平均住院日</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F5C4">
            <w:pPr>
              <w:jc w:val="center"/>
              <w:rPr>
                <w:rFonts w:hint="eastAsia" w:ascii="宋体" w:hAnsi="宋体" w:eastAsia="宋体" w:cs="宋体"/>
                <w:i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1B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较上年降低</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23B6">
            <w:pPr>
              <w:jc w:val="center"/>
              <w:rPr>
                <w:rFonts w:hint="eastAsia" w:ascii="宋体" w:hAnsi="宋体" w:eastAsia="宋体" w:cs="宋体"/>
                <w:i w:val="0"/>
                <w:color w:val="000000"/>
                <w:sz w:val="18"/>
                <w:szCs w:val="18"/>
                <w:u w:val="none"/>
              </w:rPr>
            </w:pPr>
          </w:p>
        </w:tc>
      </w:tr>
      <w:tr w14:paraId="56CA6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5"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77C01FE">
            <w:pPr>
              <w:jc w:val="center"/>
              <w:rPr>
                <w:rFonts w:hint="eastAsia" w:ascii="宋体" w:hAnsi="宋体" w:eastAsia="宋体" w:cs="宋体"/>
                <w:i w:val="0"/>
                <w:color w:val="000000"/>
                <w:sz w:val="18"/>
                <w:szCs w:val="18"/>
                <w:u w:val="none"/>
              </w:rPr>
            </w:pPr>
          </w:p>
        </w:tc>
        <w:tc>
          <w:tcPr>
            <w:tcW w:w="1043" w:type="dxa"/>
            <w:vMerge w:val="continue"/>
            <w:tcBorders>
              <w:top w:val="single" w:color="000000" w:sz="4" w:space="0"/>
              <w:left w:val="single" w:color="000000" w:sz="4" w:space="0"/>
              <w:right w:val="single" w:color="000000" w:sz="4" w:space="0"/>
            </w:tcBorders>
            <w:shd w:val="clear" w:color="auto" w:fill="auto"/>
            <w:vAlign w:val="center"/>
          </w:tcPr>
          <w:p w14:paraId="49CB25A9">
            <w:pPr>
              <w:jc w:val="center"/>
              <w:rPr>
                <w:rFonts w:hint="eastAsia" w:ascii="宋体" w:hAnsi="宋体" w:eastAsia="宋体" w:cs="宋体"/>
                <w:i w:val="0"/>
                <w:color w:val="000000"/>
                <w:sz w:val="18"/>
                <w:szCs w:val="18"/>
                <w:u w:val="none"/>
              </w:rPr>
            </w:pPr>
          </w:p>
        </w:tc>
        <w:tc>
          <w:tcPr>
            <w:tcW w:w="946" w:type="dxa"/>
            <w:tcBorders>
              <w:top w:val="single" w:color="000000" w:sz="4" w:space="0"/>
              <w:left w:val="single" w:color="000000" w:sz="4" w:space="0"/>
              <w:right w:val="single" w:color="000000" w:sz="4" w:space="0"/>
            </w:tcBorders>
            <w:shd w:val="clear" w:color="auto" w:fill="auto"/>
            <w:vAlign w:val="center"/>
          </w:tcPr>
          <w:p w14:paraId="21FB74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906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预算完成及时率</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38B7">
            <w:pPr>
              <w:jc w:val="center"/>
              <w:rPr>
                <w:rFonts w:hint="eastAsia" w:ascii="宋体" w:hAnsi="宋体" w:eastAsia="宋体" w:cs="宋体"/>
                <w:i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C1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FB3B">
            <w:pPr>
              <w:jc w:val="center"/>
              <w:rPr>
                <w:rFonts w:hint="eastAsia" w:ascii="宋体" w:hAnsi="宋体" w:eastAsia="宋体" w:cs="宋体"/>
                <w:i w:val="0"/>
                <w:color w:val="000000"/>
                <w:sz w:val="18"/>
                <w:szCs w:val="18"/>
                <w:u w:val="none"/>
              </w:rPr>
            </w:pPr>
          </w:p>
        </w:tc>
      </w:tr>
      <w:tr w14:paraId="299BA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2"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D68C52E">
            <w:pPr>
              <w:jc w:val="center"/>
              <w:rPr>
                <w:rFonts w:hint="eastAsia" w:ascii="宋体" w:hAnsi="宋体" w:eastAsia="宋体" w:cs="宋体"/>
                <w:i w:val="0"/>
                <w:color w:val="000000"/>
                <w:sz w:val="18"/>
                <w:szCs w:val="18"/>
                <w:u w:val="none"/>
              </w:rPr>
            </w:pPr>
          </w:p>
        </w:tc>
        <w:tc>
          <w:tcPr>
            <w:tcW w:w="1043" w:type="dxa"/>
            <w:vMerge w:val="restart"/>
            <w:tcBorders>
              <w:top w:val="single" w:color="000000" w:sz="4" w:space="0"/>
              <w:left w:val="single" w:color="000000" w:sz="4" w:space="0"/>
              <w:right w:val="single" w:color="000000" w:sz="4" w:space="0"/>
            </w:tcBorders>
            <w:shd w:val="clear" w:color="auto" w:fill="auto"/>
            <w:vAlign w:val="center"/>
          </w:tcPr>
          <w:p w14:paraId="463D32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946" w:type="dxa"/>
            <w:vMerge w:val="restart"/>
            <w:tcBorders>
              <w:top w:val="single" w:color="000000" w:sz="4" w:space="0"/>
              <w:left w:val="single" w:color="000000" w:sz="4" w:space="0"/>
              <w:right w:val="single" w:color="000000" w:sz="4" w:space="0"/>
            </w:tcBorders>
            <w:shd w:val="clear" w:color="auto" w:fill="auto"/>
            <w:vAlign w:val="center"/>
          </w:tcPr>
          <w:p w14:paraId="4D67CF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1539" w:type="dxa"/>
            <w:tcBorders>
              <w:top w:val="single" w:color="000000" w:sz="4" w:space="0"/>
              <w:left w:val="single" w:color="000000" w:sz="4" w:space="0"/>
              <w:right w:val="single" w:color="000000" w:sz="4" w:space="0"/>
            </w:tcBorders>
            <w:shd w:val="clear" w:color="auto" w:fill="auto"/>
            <w:vAlign w:val="center"/>
          </w:tcPr>
          <w:p w14:paraId="239EC6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三级公立医院万元能耗支出</w:t>
            </w:r>
          </w:p>
        </w:tc>
        <w:tc>
          <w:tcPr>
            <w:tcW w:w="1339" w:type="dxa"/>
            <w:tcBorders>
              <w:top w:val="single" w:color="000000" w:sz="4" w:space="0"/>
              <w:left w:val="single" w:color="000000" w:sz="4" w:space="0"/>
              <w:right w:val="single" w:color="000000" w:sz="4" w:space="0"/>
            </w:tcBorders>
            <w:shd w:val="clear" w:color="auto" w:fill="auto"/>
            <w:vAlign w:val="center"/>
          </w:tcPr>
          <w:p w14:paraId="643E7674">
            <w:pPr>
              <w:jc w:val="center"/>
              <w:rPr>
                <w:rFonts w:hint="eastAsia" w:ascii="宋体" w:hAnsi="宋体" w:eastAsia="宋体" w:cs="宋体"/>
                <w:i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E5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较上年降低</w:t>
            </w:r>
          </w:p>
        </w:tc>
        <w:tc>
          <w:tcPr>
            <w:tcW w:w="1564" w:type="dxa"/>
            <w:tcBorders>
              <w:top w:val="single" w:color="000000" w:sz="4" w:space="0"/>
              <w:left w:val="single" w:color="000000" w:sz="4" w:space="0"/>
              <w:right w:val="single" w:color="000000" w:sz="4" w:space="0"/>
            </w:tcBorders>
            <w:shd w:val="clear" w:color="auto" w:fill="auto"/>
            <w:vAlign w:val="center"/>
          </w:tcPr>
          <w:p w14:paraId="0C823E21">
            <w:pPr>
              <w:jc w:val="center"/>
              <w:rPr>
                <w:rFonts w:hint="eastAsia" w:ascii="宋体" w:hAnsi="宋体" w:eastAsia="宋体" w:cs="宋体"/>
                <w:i w:val="0"/>
                <w:color w:val="000000"/>
                <w:sz w:val="18"/>
                <w:szCs w:val="18"/>
                <w:u w:val="none"/>
              </w:rPr>
            </w:pPr>
          </w:p>
        </w:tc>
      </w:tr>
      <w:tr w14:paraId="54CC0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9"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8CEA719">
            <w:pPr>
              <w:jc w:val="center"/>
              <w:rPr>
                <w:rFonts w:hint="eastAsia" w:ascii="宋体" w:hAnsi="宋体" w:eastAsia="宋体" w:cs="宋体"/>
                <w:i w:val="0"/>
                <w:color w:val="000000"/>
                <w:sz w:val="18"/>
                <w:szCs w:val="18"/>
                <w:u w:val="none"/>
              </w:rPr>
            </w:pPr>
          </w:p>
        </w:tc>
        <w:tc>
          <w:tcPr>
            <w:tcW w:w="1043" w:type="dxa"/>
            <w:vMerge w:val="continue"/>
            <w:tcBorders>
              <w:top w:val="single" w:color="000000" w:sz="4" w:space="0"/>
              <w:left w:val="single" w:color="000000" w:sz="4" w:space="0"/>
              <w:right w:val="single" w:color="000000" w:sz="4" w:space="0"/>
            </w:tcBorders>
            <w:shd w:val="clear" w:color="auto" w:fill="auto"/>
            <w:vAlign w:val="center"/>
          </w:tcPr>
          <w:p w14:paraId="39A8CEF4">
            <w:pPr>
              <w:jc w:val="center"/>
              <w:rPr>
                <w:rFonts w:hint="eastAsia" w:ascii="宋体" w:hAnsi="宋体" w:eastAsia="宋体" w:cs="宋体"/>
                <w:i w:val="0"/>
                <w:color w:val="000000"/>
                <w:sz w:val="18"/>
                <w:szCs w:val="18"/>
                <w:u w:val="none"/>
              </w:rPr>
            </w:pPr>
          </w:p>
        </w:tc>
        <w:tc>
          <w:tcPr>
            <w:tcW w:w="946" w:type="dxa"/>
            <w:vMerge w:val="continue"/>
            <w:tcBorders>
              <w:top w:val="single" w:color="000000" w:sz="4" w:space="0"/>
              <w:left w:val="single" w:color="000000" w:sz="4" w:space="0"/>
              <w:right w:val="single" w:color="000000" w:sz="4" w:space="0"/>
            </w:tcBorders>
            <w:shd w:val="clear" w:color="auto" w:fill="auto"/>
            <w:vAlign w:val="center"/>
          </w:tcPr>
          <w:p w14:paraId="427F2E61">
            <w:pPr>
              <w:jc w:val="center"/>
              <w:rPr>
                <w:rFonts w:hint="eastAsia" w:ascii="宋体" w:hAnsi="宋体" w:eastAsia="宋体" w:cs="宋体"/>
                <w:i w:val="0"/>
                <w:color w:val="000000"/>
                <w:sz w:val="22"/>
                <w:szCs w:val="22"/>
                <w:u w:val="none"/>
              </w:rPr>
            </w:pPr>
          </w:p>
        </w:tc>
        <w:tc>
          <w:tcPr>
            <w:tcW w:w="1539" w:type="dxa"/>
            <w:tcBorders>
              <w:top w:val="single" w:color="000000" w:sz="4" w:space="0"/>
              <w:left w:val="single" w:color="000000" w:sz="4" w:space="0"/>
              <w:right w:val="single" w:color="000000" w:sz="4" w:space="0"/>
            </w:tcBorders>
            <w:shd w:val="clear" w:color="auto" w:fill="auto"/>
            <w:vAlign w:val="center"/>
          </w:tcPr>
          <w:p w14:paraId="6CF25B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实现收支平衡的公立医院数占公立医院总数的比例</w:t>
            </w:r>
          </w:p>
        </w:tc>
        <w:tc>
          <w:tcPr>
            <w:tcW w:w="1339" w:type="dxa"/>
            <w:tcBorders>
              <w:top w:val="single" w:color="000000" w:sz="4" w:space="0"/>
              <w:left w:val="single" w:color="000000" w:sz="4" w:space="0"/>
              <w:right w:val="single" w:color="000000" w:sz="4" w:space="0"/>
            </w:tcBorders>
            <w:shd w:val="clear" w:color="auto" w:fill="auto"/>
            <w:vAlign w:val="center"/>
          </w:tcPr>
          <w:p w14:paraId="18CF73DD">
            <w:pPr>
              <w:jc w:val="center"/>
              <w:rPr>
                <w:rFonts w:hint="eastAsia" w:ascii="宋体" w:hAnsi="宋体" w:eastAsia="宋体" w:cs="宋体"/>
                <w:i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C5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较上年提高</w:t>
            </w:r>
          </w:p>
        </w:tc>
        <w:tc>
          <w:tcPr>
            <w:tcW w:w="1564" w:type="dxa"/>
            <w:tcBorders>
              <w:top w:val="single" w:color="000000" w:sz="4" w:space="0"/>
              <w:left w:val="single" w:color="000000" w:sz="4" w:space="0"/>
              <w:right w:val="single" w:color="000000" w:sz="4" w:space="0"/>
            </w:tcBorders>
            <w:shd w:val="clear" w:color="auto" w:fill="auto"/>
            <w:vAlign w:val="center"/>
          </w:tcPr>
          <w:p w14:paraId="4172FD05">
            <w:pPr>
              <w:jc w:val="center"/>
              <w:rPr>
                <w:rFonts w:hint="eastAsia" w:ascii="宋体" w:hAnsi="宋体" w:eastAsia="宋体" w:cs="宋体"/>
                <w:i w:val="0"/>
                <w:color w:val="000000"/>
                <w:sz w:val="18"/>
                <w:szCs w:val="18"/>
                <w:u w:val="none"/>
              </w:rPr>
            </w:pPr>
          </w:p>
        </w:tc>
      </w:tr>
      <w:tr w14:paraId="39E86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25"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9F5844">
            <w:pPr>
              <w:jc w:val="center"/>
              <w:rPr>
                <w:rFonts w:hint="eastAsia" w:ascii="宋体" w:hAnsi="宋体" w:eastAsia="宋体" w:cs="宋体"/>
                <w:i w:val="0"/>
                <w:color w:val="000000"/>
                <w:sz w:val="18"/>
                <w:szCs w:val="18"/>
                <w:u w:val="none"/>
              </w:rPr>
            </w:pPr>
          </w:p>
        </w:tc>
        <w:tc>
          <w:tcPr>
            <w:tcW w:w="1043" w:type="dxa"/>
            <w:vMerge w:val="continue"/>
            <w:tcBorders>
              <w:top w:val="single" w:color="000000" w:sz="4" w:space="0"/>
              <w:left w:val="single" w:color="000000" w:sz="4" w:space="0"/>
              <w:right w:val="single" w:color="000000" w:sz="4" w:space="0"/>
            </w:tcBorders>
            <w:shd w:val="clear" w:color="auto" w:fill="auto"/>
            <w:vAlign w:val="center"/>
          </w:tcPr>
          <w:p w14:paraId="4E0E0F75">
            <w:pPr>
              <w:jc w:val="center"/>
              <w:rPr>
                <w:rFonts w:hint="eastAsia" w:ascii="宋体" w:hAnsi="宋体" w:eastAsia="宋体" w:cs="宋体"/>
                <w:i w:val="0"/>
                <w:color w:val="000000"/>
                <w:sz w:val="18"/>
                <w:szCs w:val="18"/>
                <w:u w:val="none"/>
              </w:rPr>
            </w:pPr>
          </w:p>
        </w:tc>
        <w:tc>
          <w:tcPr>
            <w:tcW w:w="946" w:type="dxa"/>
            <w:vMerge w:val="restart"/>
            <w:tcBorders>
              <w:top w:val="single" w:color="000000" w:sz="4" w:space="0"/>
              <w:left w:val="single" w:color="000000" w:sz="4" w:space="0"/>
              <w:right w:val="single" w:color="000000" w:sz="4" w:space="0"/>
            </w:tcBorders>
            <w:shd w:val="clear" w:color="auto" w:fill="auto"/>
            <w:vAlign w:val="center"/>
          </w:tcPr>
          <w:p w14:paraId="57102A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1539" w:type="dxa"/>
            <w:tcBorders>
              <w:top w:val="single" w:color="000000" w:sz="4" w:space="0"/>
              <w:left w:val="single" w:color="000000" w:sz="4" w:space="0"/>
              <w:right w:val="single" w:color="000000" w:sz="4" w:space="0"/>
            </w:tcBorders>
            <w:shd w:val="clear" w:color="auto" w:fill="auto"/>
            <w:vAlign w:val="center"/>
          </w:tcPr>
          <w:p w14:paraId="024C3E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基层医疗卫生机构诊疗人次占医疗卫生机构诊疗总人次数的比例</w:t>
            </w:r>
          </w:p>
        </w:tc>
        <w:tc>
          <w:tcPr>
            <w:tcW w:w="1339" w:type="dxa"/>
            <w:tcBorders>
              <w:top w:val="single" w:color="000000" w:sz="4" w:space="0"/>
              <w:left w:val="single" w:color="000000" w:sz="4" w:space="0"/>
              <w:right w:val="single" w:color="000000" w:sz="4" w:space="0"/>
            </w:tcBorders>
            <w:shd w:val="clear" w:color="auto" w:fill="auto"/>
            <w:vAlign w:val="center"/>
          </w:tcPr>
          <w:p w14:paraId="1F907487">
            <w:pPr>
              <w:jc w:val="center"/>
              <w:rPr>
                <w:rFonts w:hint="eastAsia" w:ascii="宋体" w:hAnsi="宋体" w:eastAsia="宋体" w:cs="宋体"/>
                <w:i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77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较上年提高</w:t>
            </w:r>
          </w:p>
        </w:tc>
        <w:tc>
          <w:tcPr>
            <w:tcW w:w="1564" w:type="dxa"/>
            <w:tcBorders>
              <w:top w:val="single" w:color="000000" w:sz="4" w:space="0"/>
              <w:left w:val="single" w:color="000000" w:sz="4" w:space="0"/>
              <w:right w:val="single" w:color="000000" w:sz="4" w:space="0"/>
            </w:tcBorders>
            <w:shd w:val="clear" w:color="auto" w:fill="auto"/>
            <w:vAlign w:val="center"/>
          </w:tcPr>
          <w:p w14:paraId="7B0CBBEC">
            <w:pPr>
              <w:jc w:val="center"/>
              <w:rPr>
                <w:rFonts w:hint="eastAsia" w:ascii="宋体" w:hAnsi="宋体" w:eastAsia="宋体" w:cs="宋体"/>
                <w:i w:val="0"/>
                <w:color w:val="000000"/>
                <w:sz w:val="18"/>
                <w:szCs w:val="18"/>
                <w:u w:val="none"/>
              </w:rPr>
            </w:pPr>
          </w:p>
        </w:tc>
      </w:tr>
      <w:tr w14:paraId="0796C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29"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DD01920">
            <w:pPr>
              <w:jc w:val="center"/>
              <w:rPr>
                <w:rFonts w:hint="eastAsia" w:ascii="宋体" w:hAnsi="宋体" w:eastAsia="宋体" w:cs="宋体"/>
                <w:i w:val="0"/>
                <w:color w:val="000000"/>
                <w:sz w:val="18"/>
                <w:szCs w:val="18"/>
                <w:u w:val="none"/>
              </w:rPr>
            </w:pPr>
          </w:p>
        </w:tc>
        <w:tc>
          <w:tcPr>
            <w:tcW w:w="1043" w:type="dxa"/>
            <w:vMerge w:val="continue"/>
            <w:tcBorders>
              <w:top w:val="single" w:color="000000" w:sz="4" w:space="0"/>
              <w:left w:val="single" w:color="000000" w:sz="4" w:space="0"/>
              <w:right w:val="single" w:color="000000" w:sz="4" w:space="0"/>
            </w:tcBorders>
            <w:shd w:val="clear" w:color="auto" w:fill="auto"/>
            <w:vAlign w:val="center"/>
          </w:tcPr>
          <w:p w14:paraId="14A0DBD1">
            <w:pPr>
              <w:jc w:val="center"/>
              <w:rPr>
                <w:rFonts w:hint="eastAsia" w:ascii="宋体" w:hAnsi="宋体" w:eastAsia="宋体" w:cs="宋体"/>
                <w:i w:val="0"/>
                <w:color w:val="000000"/>
                <w:sz w:val="18"/>
                <w:szCs w:val="18"/>
                <w:u w:val="none"/>
              </w:rPr>
            </w:pPr>
          </w:p>
        </w:tc>
        <w:tc>
          <w:tcPr>
            <w:tcW w:w="946" w:type="dxa"/>
            <w:vMerge w:val="continue"/>
            <w:tcBorders>
              <w:top w:val="single" w:color="000000" w:sz="4" w:space="0"/>
              <w:left w:val="single" w:color="000000" w:sz="4" w:space="0"/>
              <w:right w:val="single" w:color="000000" w:sz="4" w:space="0"/>
            </w:tcBorders>
            <w:shd w:val="clear" w:color="auto" w:fill="auto"/>
            <w:vAlign w:val="center"/>
          </w:tcPr>
          <w:p w14:paraId="569CEF2D">
            <w:pPr>
              <w:jc w:val="center"/>
              <w:rPr>
                <w:rFonts w:hint="eastAsia" w:ascii="宋体" w:hAnsi="宋体" w:eastAsia="宋体" w:cs="宋体"/>
                <w:i w:val="0"/>
                <w:color w:val="000000"/>
                <w:sz w:val="22"/>
                <w:szCs w:val="22"/>
                <w:u w:val="none"/>
              </w:rPr>
            </w:pPr>
          </w:p>
        </w:tc>
        <w:tc>
          <w:tcPr>
            <w:tcW w:w="1539" w:type="dxa"/>
            <w:tcBorders>
              <w:top w:val="single" w:color="000000" w:sz="4" w:space="0"/>
              <w:left w:val="single" w:color="000000" w:sz="4" w:space="0"/>
              <w:right w:val="single" w:color="000000" w:sz="4" w:space="0"/>
            </w:tcBorders>
            <w:shd w:val="clear" w:color="auto" w:fill="auto"/>
            <w:vAlign w:val="center"/>
          </w:tcPr>
          <w:p w14:paraId="554A67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公立医院每急诊人次平均收费水平增长比例</w:t>
            </w:r>
          </w:p>
        </w:tc>
        <w:tc>
          <w:tcPr>
            <w:tcW w:w="1339" w:type="dxa"/>
            <w:tcBorders>
              <w:top w:val="single" w:color="000000" w:sz="4" w:space="0"/>
              <w:left w:val="single" w:color="000000" w:sz="4" w:space="0"/>
              <w:right w:val="single" w:color="000000" w:sz="4" w:space="0"/>
            </w:tcBorders>
            <w:shd w:val="clear" w:color="auto" w:fill="auto"/>
            <w:vAlign w:val="center"/>
          </w:tcPr>
          <w:p w14:paraId="4FFECCB7">
            <w:pPr>
              <w:jc w:val="center"/>
              <w:rPr>
                <w:rFonts w:hint="eastAsia" w:ascii="宋体" w:hAnsi="宋体" w:eastAsia="宋体" w:cs="宋体"/>
                <w:i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9D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较上年降低</w:t>
            </w:r>
          </w:p>
        </w:tc>
        <w:tc>
          <w:tcPr>
            <w:tcW w:w="1564" w:type="dxa"/>
            <w:tcBorders>
              <w:top w:val="single" w:color="000000" w:sz="4" w:space="0"/>
              <w:left w:val="single" w:color="000000" w:sz="4" w:space="0"/>
              <w:right w:val="single" w:color="000000" w:sz="4" w:space="0"/>
            </w:tcBorders>
            <w:shd w:val="clear" w:color="auto" w:fill="auto"/>
            <w:vAlign w:val="center"/>
          </w:tcPr>
          <w:p w14:paraId="02BB6903">
            <w:pPr>
              <w:jc w:val="center"/>
              <w:rPr>
                <w:rFonts w:hint="eastAsia" w:ascii="宋体" w:hAnsi="宋体" w:eastAsia="宋体" w:cs="宋体"/>
                <w:i w:val="0"/>
                <w:color w:val="000000"/>
                <w:sz w:val="18"/>
                <w:szCs w:val="18"/>
                <w:u w:val="none"/>
              </w:rPr>
            </w:pPr>
          </w:p>
        </w:tc>
      </w:tr>
      <w:tr w14:paraId="1AFB5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2"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21D8FB6">
            <w:pPr>
              <w:jc w:val="center"/>
              <w:rPr>
                <w:rFonts w:hint="eastAsia" w:ascii="宋体" w:hAnsi="宋体" w:eastAsia="宋体" w:cs="宋体"/>
                <w:i w:val="0"/>
                <w:color w:val="000000"/>
                <w:sz w:val="18"/>
                <w:szCs w:val="18"/>
                <w:u w:val="none"/>
              </w:rPr>
            </w:pPr>
          </w:p>
        </w:tc>
        <w:tc>
          <w:tcPr>
            <w:tcW w:w="1043" w:type="dxa"/>
            <w:vMerge w:val="continue"/>
            <w:tcBorders>
              <w:top w:val="single" w:color="000000" w:sz="4" w:space="0"/>
              <w:left w:val="single" w:color="000000" w:sz="4" w:space="0"/>
              <w:right w:val="single" w:color="000000" w:sz="4" w:space="0"/>
            </w:tcBorders>
            <w:shd w:val="clear" w:color="auto" w:fill="auto"/>
            <w:vAlign w:val="center"/>
          </w:tcPr>
          <w:p w14:paraId="6D9B6FBD">
            <w:pPr>
              <w:jc w:val="center"/>
              <w:rPr>
                <w:rFonts w:hint="eastAsia" w:ascii="宋体" w:hAnsi="宋体" w:eastAsia="宋体" w:cs="宋体"/>
                <w:i w:val="0"/>
                <w:color w:val="000000"/>
                <w:sz w:val="18"/>
                <w:szCs w:val="18"/>
                <w:u w:val="none"/>
              </w:rPr>
            </w:pPr>
          </w:p>
        </w:tc>
        <w:tc>
          <w:tcPr>
            <w:tcW w:w="946" w:type="dxa"/>
            <w:vMerge w:val="continue"/>
            <w:tcBorders>
              <w:top w:val="single" w:color="000000" w:sz="4" w:space="0"/>
              <w:left w:val="single" w:color="000000" w:sz="4" w:space="0"/>
              <w:right w:val="single" w:color="000000" w:sz="4" w:space="0"/>
            </w:tcBorders>
            <w:shd w:val="clear" w:color="auto" w:fill="auto"/>
            <w:vAlign w:val="center"/>
          </w:tcPr>
          <w:p w14:paraId="4DED044E">
            <w:pPr>
              <w:jc w:val="center"/>
              <w:rPr>
                <w:rFonts w:hint="eastAsia" w:ascii="宋体" w:hAnsi="宋体" w:eastAsia="宋体" w:cs="宋体"/>
                <w:i w:val="0"/>
                <w:color w:val="000000"/>
                <w:sz w:val="22"/>
                <w:szCs w:val="22"/>
                <w:u w:val="none"/>
              </w:rPr>
            </w:pPr>
          </w:p>
        </w:tc>
        <w:tc>
          <w:tcPr>
            <w:tcW w:w="1539" w:type="dxa"/>
            <w:tcBorders>
              <w:top w:val="single" w:color="000000" w:sz="4" w:space="0"/>
              <w:left w:val="single" w:color="000000" w:sz="4" w:space="0"/>
              <w:right w:val="single" w:color="000000" w:sz="4" w:space="0"/>
            </w:tcBorders>
            <w:shd w:val="clear" w:color="auto" w:fill="auto"/>
            <w:vAlign w:val="center"/>
          </w:tcPr>
          <w:p w14:paraId="5DA76B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公立医院出院者平均医药费用增长比例</w:t>
            </w:r>
          </w:p>
        </w:tc>
        <w:tc>
          <w:tcPr>
            <w:tcW w:w="1339" w:type="dxa"/>
            <w:tcBorders>
              <w:top w:val="single" w:color="000000" w:sz="4" w:space="0"/>
              <w:left w:val="single" w:color="000000" w:sz="4" w:space="0"/>
              <w:right w:val="single" w:color="000000" w:sz="4" w:space="0"/>
            </w:tcBorders>
            <w:shd w:val="clear" w:color="auto" w:fill="auto"/>
            <w:vAlign w:val="center"/>
          </w:tcPr>
          <w:p w14:paraId="22075278">
            <w:pPr>
              <w:jc w:val="center"/>
              <w:rPr>
                <w:rFonts w:hint="eastAsia" w:ascii="宋体" w:hAnsi="宋体" w:eastAsia="宋体" w:cs="宋体"/>
                <w:i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69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较上年降低</w:t>
            </w:r>
          </w:p>
        </w:tc>
        <w:tc>
          <w:tcPr>
            <w:tcW w:w="1564" w:type="dxa"/>
            <w:tcBorders>
              <w:top w:val="single" w:color="000000" w:sz="4" w:space="0"/>
              <w:left w:val="single" w:color="000000" w:sz="4" w:space="0"/>
              <w:right w:val="single" w:color="000000" w:sz="4" w:space="0"/>
            </w:tcBorders>
            <w:shd w:val="clear" w:color="auto" w:fill="auto"/>
            <w:vAlign w:val="center"/>
          </w:tcPr>
          <w:p w14:paraId="2617FEFA">
            <w:pPr>
              <w:jc w:val="center"/>
              <w:rPr>
                <w:rFonts w:hint="eastAsia" w:ascii="宋体" w:hAnsi="宋体" w:eastAsia="宋体" w:cs="宋体"/>
                <w:i w:val="0"/>
                <w:color w:val="000000"/>
                <w:sz w:val="18"/>
                <w:szCs w:val="18"/>
                <w:u w:val="none"/>
              </w:rPr>
            </w:pPr>
          </w:p>
        </w:tc>
      </w:tr>
      <w:tr w14:paraId="58651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2"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845802">
            <w:pPr>
              <w:jc w:val="center"/>
              <w:rPr>
                <w:rFonts w:hint="eastAsia" w:ascii="宋体" w:hAnsi="宋体" w:eastAsia="宋体" w:cs="宋体"/>
                <w:i w:val="0"/>
                <w:color w:val="000000"/>
                <w:sz w:val="18"/>
                <w:szCs w:val="18"/>
                <w:u w:val="none"/>
              </w:rPr>
            </w:pPr>
          </w:p>
        </w:tc>
        <w:tc>
          <w:tcPr>
            <w:tcW w:w="1043" w:type="dxa"/>
            <w:vMerge w:val="continue"/>
            <w:tcBorders>
              <w:top w:val="single" w:color="000000" w:sz="4" w:space="0"/>
              <w:left w:val="single" w:color="000000" w:sz="4" w:space="0"/>
              <w:right w:val="single" w:color="000000" w:sz="4" w:space="0"/>
            </w:tcBorders>
            <w:shd w:val="clear" w:color="auto" w:fill="auto"/>
            <w:vAlign w:val="center"/>
          </w:tcPr>
          <w:p w14:paraId="0B704854">
            <w:pPr>
              <w:jc w:val="center"/>
              <w:rPr>
                <w:rFonts w:hint="eastAsia" w:ascii="宋体" w:hAnsi="宋体" w:eastAsia="宋体" w:cs="宋体"/>
                <w:i w:val="0"/>
                <w:color w:val="000000"/>
                <w:sz w:val="18"/>
                <w:szCs w:val="18"/>
                <w:u w:val="none"/>
              </w:rPr>
            </w:pPr>
          </w:p>
        </w:tc>
        <w:tc>
          <w:tcPr>
            <w:tcW w:w="946" w:type="dxa"/>
            <w:vMerge w:val="continue"/>
            <w:tcBorders>
              <w:top w:val="single" w:color="000000" w:sz="4" w:space="0"/>
              <w:left w:val="single" w:color="000000" w:sz="4" w:space="0"/>
              <w:right w:val="single" w:color="000000" w:sz="4" w:space="0"/>
            </w:tcBorders>
            <w:shd w:val="clear" w:color="auto" w:fill="auto"/>
            <w:vAlign w:val="center"/>
          </w:tcPr>
          <w:p w14:paraId="1010ED74">
            <w:pPr>
              <w:jc w:val="center"/>
              <w:rPr>
                <w:rFonts w:hint="eastAsia" w:ascii="宋体" w:hAnsi="宋体" w:eastAsia="宋体" w:cs="宋体"/>
                <w:i w:val="0"/>
                <w:color w:val="000000"/>
                <w:sz w:val="22"/>
                <w:szCs w:val="22"/>
                <w:u w:val="none"/>
              </w:rPr>
            </w:pPr>
          </w:p>
        </w:tc>
        <w:tc>
          <w:tcPr>
            <w:tcW w:w="1539" w:type="dxa"/>
            <w:tcBorders>
              <w:top w:val="single" w:color="000000" w:sz="4" w:space="0"/>
              <w:left w:val="single" w:color="000000" w:sz="4" w:space="0"/>
              <w:right w:val="single" w:color="000000" w:sz="4" w:space="0"/>
            </w:tcBorders>
            <w:shd w:val="clear" w:color="auto" w:fill="auto"/>
            <w:vAlign w:val="center"/>
          </w:tcPr>
          <w:p w14:paraId="3E6312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三级公立医院门诊人次数与出院人次数比</w:t>
            </w:r>
          </w:p>
        </w:tc>
        <w:tc>
          <w:tcPr>
            <w:tcW w:w="1339" w:type="dxa"/>
            <w:tcBorders>
              <w:top w:val="single" w:color="000000" w:sz="4" w:space="0"/>
              <w:left w:val="single" w:color="000000" w:sz="4" w:space="0"/>
              <w:right w:val="single" w:color="000000" w:sz="4" w:space="0"/>
            </w:tcBorders>
            <w:shd w:val="clear" w:color="auto" w:fill="auto"/>
            <w:vAlign w:val="center"/>
          </w:tcPr>
          <w:p w14:paraId="6F2E5B6A">
            <w:pPr>
              <w:jc w:val="center"/>
              <w:rPr>
                <w:rFonts w:hint="eastAsia" w:ascii="宋体" w:hAnsi="宋体" w:eastAsia="宋体" w:cs="宋体"/>
                <w:i w:val="0"/>
                <w:color w:val="000000"/>
                <w:sz w:val="18"/>
                <w:szCs w:val="18"/>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600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较上年降低</w:t>
            </w:r>
          </w:p>
        </w:tc>
        <w:tc>
          <w:tcPr>
            <w:tcW w:w="1564" w:type="dxa"/>
            <w:tcBorders>
              <w:top w:val="single" w:color="000000" w:sz="4" w:space="0"/>
              <w:left w:val="single" w:color="000000" w:sz="4" w:space="0"/>
              <w:right w:val="single" w:color="000000" w:sz="4" w:space="0"/>
            </w:tcBorders>
            <w:shd w:val="clear" w:color="auto" w:fill="auto"/>
            <w:vAlign w:val="center"/>
          </w:tcPr>
          <w:p w14:paraId="4251E513">
            <w:pPr>
              <w:jc w:val="center"/>
              <w:rPr>
                <w:rFonts w:hint="eastAsia" w:ascii="宋体" w:hAnsi="宋体" w:eastAsia="宋体" w:cs="宋体"/>
                <w:i w:val="0"/>
                <w:color w:val="000000"/>
                <w:sz w:val="18"/>
                <w:szCs w:val="18"/>
                <w:u w:val="none"/>
              </w:rPr>
            </w:pPr>
          </w:p>
        </w:tc>
      </w:tr>
      <w:tr w14:paraId="652EC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7" w:hRule="atLeast"/>
        </w:trPr>
        <w:tc>
          <w:tcPr>
            <w:tcW w:w="35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B79BC21">
            <w:pPr>
              <w:jc w:val="center"/>
              <w:rPr>
                <w:rFonts w:hint="eastAsia" w:ascii="宋体" w:hAnsi="宋体" w:eastAsia="宋体" w:cs="宋体"/>
                <w:i w:val="0"/>
                <w:color w:val="000000"/>
                <w:sz w:val="18"/>
                <w:szCs w:val="18"/>
                <w:u w:val="none"/>
              </w:rPr>
            </w:pPr>
          </w:p>
        </w:tc>
        <w:tc>
          <w:tcPr>
            <w:tcW w:w="1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FE6B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946" w:type="dxa"/>
            <w:vMerge w:val="restart"/>
            <w:tcBorders>
              <w:top w:val="single" w:color="000000" w:sz="4" w:space="0"/>
              <w:left w:val="single" w:color="000000" w:sz="4" w:space="0"/>
              <w:right w:val="single" w:color="000000" w:sz="4" w:space="0"/>
            </w:tcBorders>
            <w:shd w:val="clear" w:color="auto" w:fill="auto"/>
            <w:vAlign w:val="center"/>
          </w:tcPr>
          <w:p w14:paraId="1E4C4B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539" w:type="dxa"/>
            <w:tcBorders>
              <w:top w:val="single" w:color="000000" w:sz="4" w:space="0"/>
              <w:left w:val="single" w:color="000000" w:sz="4" w:space="0"/>
              <w:right w:val="single" w:color="000000" w:sz="4" w:space="0"/>
            </w:tcBorders>
            <w:shd w:val="clear" w:color="auto" w:fill="auto"/>
            <w:vAlign w:val="center"/>
          </w:tcPr>
          <w:p w14:paraId="1C6823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公立医院职工满意度</w:t>
            </w:r>
          </w:p>
        </w:tc>
        <w:tc>
          <w:tcPr>
            <w:tcW w:w="1339" w:type="dxa"/>
            <w:tcBorders>
              <w:top w:val="single" w:color="000000" w:sz="4" w:space="0"/>
              <w:left w:val="single" w:color="000000" w:sz="4" w:space="0"/>
              <w:right w:val="single" w:color="000000" w:sz="4" w:space="0"/>
            </w:tcBorders>
            <w:shd w:val="clear" w:color="auto" w:fill="auto"/>
            <w:vAlign w:val="center"/>
          </w:tcPr>
          <w:p w14:paraId="4C8B0BA6">
            <w:pPr>
              <w:jc w:val="center"/>
              <w:rPr>
                <w:rFonts w:hint="eastAsia" w:ascii="宋体" w:hAnsi="宋体" w:eastAsia="宋体" w:cs="宋体"/>
                <w:i w:val="0"/>
                <w:color w:val="000000"/>
                <w:sz w:val="18"/>
                <w:szCs w:val="18"/>
                <w:u w:val="none"/>
              </w:rPr>
            </w:pPr>
          </w:p>
        </w:tc>
        <w:tc>
          <w:tcPr>
            <w:tcW w:w="1592" w:type="dxa"/>
            <w:tcBorders>
              <w:top w:val="single" w:color="000000" w:sz="4" w:space="0"/>
              <w:left w:val="single" w:color="000000" w:sz="4" w:space="0"/>
              <w:right w:val="single" w:color="000000" w:sz="4" w:space="0"/>
            </w:tcBorders>
            <w:shd w:val="clear" w:color="auto" w:fill="auto"/>
            <w:vAlign w:val="center"/>
          </w:tcPr>
          <w:p w14:paraId="1862E5AF">
            <w:pPr>
              <w:keepNext w:val="0"/>
              <w:keepLines w:val="0"/>
              <w:widowControl/>
              <w:suppressLineNumbers w:val="0"/>
              <w:jc w:val="center"/>
              <w:textAlignment w:val="center"/>
              <w:rPr>
                <w:rFonts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75%</w:t>
            </w:r>
          </w:p>
        </w:tc>
        <w:tc>
          <w:tcPr>
            <w:tcW w:w="1564" w:type="dxa"/>
            <w:tcBorders>
              <w:top w:val="single" w:color="000000" w:sz="4" w:space="0"/>
              <w:left w:val="single" w:color="000000" w:sz="4" w:space="0"/>
              <w:right w:val="single" w:color="000000" w:sz="4" w:space="0"/>
            </w:tcBorders>
            <w:shd w:val="clear" w:color="auto" w:fill="auto"/>
            <w:vAlign w:val="center"/>
          </w:tcPr>
          <w:p w14:paraId="44D78CA5">
            <w:pPr>
              <w:jc w:val="center"/>
              <w:rPr>
                <w:rFonts w:hint="eastAsia" w:ascii="宋体" w:hAnsi="宋体" w:eastAsia="宋体" w:cs="宋体"/>
                <w:i w:val="0"/>
                <w:color w:val="000000"/>
                <w:sz w:val="18"/>
                <w:szCs w:val="18"/>
                <w:u w:val="none"/>
              </w:rPr>
            </w:pPr>
          </w:p>
        </w:tc>
      </w:tr>
      <w:tr w14:paraId="10762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2" w:hRule="atLeast"/>
        </w:trPr>
        <w:tc>
          <w:tcPr>
            <w:tcW w:w="357" w:type="dxa"/>
            <w:tcBorders>
              <w:left w:val="single" w:color="000000" w:sz="4" w:space="0"/>
              <w:bottom w:val="single" w:color="000000" w:sz="4" w:space="0"/>
              <w:right w:val="single" w:color="000000" w:sz="4" w:space="0"/>
            </w:tcBorders>
            <w:shd w:val="clear" w:color="auto" w:fill="auto"/>
            <w:textDirection w:val="tbRlV"/>
            <w:vAlign w:val="center"/>
          </w:tcPr>
          <w:p w14:paraId="68D8D214">
            <w:pPr>
              <w:jc w:val="center"/>
              <w:rPr>
                <w:rFonts w:hint="eastAsia" w:ascii="宋体" w:hAnsi="宋体" w:eastAsia="宋体" w:cs="宋体"/>
                <w:i w:val="0"/>
                <w:color w:val="000000"/>
                <w:sz w:val="18"/>
                <w:szCs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E02D7">
            <w:pPr>
              <w:jc w:val="center"/>
              <w:rPr>
                <w:rFonts w:hint="eastAsia" w:ascii="宋体" w:hAnsi="宋体" w:eastAsia="宋体" w:cs="宋体"/>
                <w:i w:val="0"/>
                <w:color w:val="000000"/>
                <w:sz w:val="18"/>
                <w:szCs w:val="18"/>
                <w:u w:val="none"/>
              </w:rPr>
            </w:pPr>
          </w:p>
        </w:tc>
        <w:tc>
          <w:tcPr>
            <w:tcW w:w="946" w:type="dxa"/>
            <w:vMerge w:val="continue"/>
            <w:tcBorders>
              <w:top w:val="single" w:color="000000" w:sz="4" w:space="0"/>
              <w:left w:val="single" w:color="000000" w:sz="4" w:space="0"/>
              <w:right w:val="single" w:color="000000" w:sz="4" w:space="0"/>
            </w:tcBorders>
            <w:shd w:val="clear" w:color="auto" w:fill="auto"/>
            <w:vAlign w:val="center"/>
          </w:tcPr>
          <w:p w14:paraId="0158424C">
            <w:pPr>
              <w:jc w:val="center"/>
              <w:rPr>
                <w:rFonts w:hint="eastAsia" w:ascii="宋体" w:hAnsi="宋体" w:eastAsia="宋体" w:cs="宋体"/>
                <w:i w:val="0"/>
                <w:color w:val="000000"/>
                <w:sz w:val="18"/>
                <w:szCs w:val="18"/>
                <w:u w:val="none"/>
              </w:rPr>
            </w:pPr>
          </w:p>
        </w:tc>
        <w:tc>
          <w:tcPr>
            <w:tcW w:w="1539" w:type="dxa"/>
            <w:tcBorders>
              <w:top w:val="single" w:color="000000" w:sz="4" w:space="0"/>
              <w:left w:val="single" w:color="000000" w:sz="4" w:space="0"/>
              <w:right w:val="single" w:color="000000" w:sz="4" w:space="0"/>
            </w:tcBorders>
            <w:shd w:val="clear" w:color="auto" w:fill="auto"/>
            <w:vAlign w:val="center"/>
          </w:tcPr>
          <w:p w14:paraId="2419E8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公立医院门诊患者满意度</w:t>
            </w:r>
          </w:p>
        </w:tc>
        <w:tc>
          <w:tcPr>
            <w:tcW w:w="1339" w:type="dxa"/>
            <w:tcBorders>
              <w:top w:val="single" w:color="000000" w:sz="4" w:space="0"/>
              <w:left w:val="single" w:color="000000" w:sz="4" w:space="0"/>
              <w:right w:val="single" w:color="000000" w:sz="4" w:space="0"/>
            </w:tcBorders>
            <w:shd w:val="clear" w:color="auto" w:fill="auto"/>
            <w:vAlign w:val="center"/>
          </w:tcPr>
          <w:p w14:paraId="02B27320">
            <w:pPr>
              <w:jc w:val="center"/>
              <w:rPr>
                <w:rFonts w:hint="eastAsia" w:ascii="宋体" w:hAnsi="宋体" w:eastAsia="宋体" w:cs="宋体"/>
                <w:i w:val="0"/>
                <w:color w:val="000000"/>
                <w:sz w:val="18"/>
                <w:szCs w:val="18"/>
                <w:u w:val="none"/>
              </w:rPr>
            </w:pPr>
          </w:p>
        </w:tc>
        <w:tc>
          <w:tcPr>
            <w:tcW w:w="1592" w:type="dxa"/>
            <w:tcBorders>
              <w:top w:val="single" w:color="000000" w:sz="4" w:space="0"/>
              <w:left w:val="single" w:color="000000" w:sz="4" w:space="0"/>
              <w:right w:val="single" w:color="000000" w:sz="4" w:space="0"/>
            </w:tcBorders>
            <w:shd w:val="clear" w:color="auto" w:fill="auto"/>
            <w:vAlign w:val="center"/>
          </w:tcPr>
          <w:p w14:paraId="09EAB7AE">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83%</w:t>
            </w:r>
          </w:p>
        </w:tc>
        <w:tc>
          <w:tcPr>
            <w:tcW w:w="1564" w:type="dxa"/>
            <w:tcBorders>
              <w:top w:val="single" w:color="000000" w:sz="4" w:space="0"/>
              <w:left w:val="single" w:color="000000" w:sz="4" w:space="0"/>
              <w:right w:val="single" w:color="000000" w:sz="4" w:space="0"/>
            </w:tcBorders>
            <w:shd w:val="clear" w:color="auto" w:fill="auto"/>
            <w:vAlign w:val="center"/>
          </w:tcPr>
          <w:p w14:paraId="0F18BCC0">
            <w:pPr>
              <w:jc w:val="center"/>
              <w:rPr>
                <w:rFonts w:hint="eastAsia" w:ascii="宋体" w:hAnsi="宋体" w:eastAsia="宋体" w:cs="宋体"/>
                <w:i w:val="0"/>
                <w:color w:val="000000"/>
                <w:sz w:val="18"/>
                <w:szCs w:val="18"/>
                <w:u w:val="none"/>
              </w:rPr>
            </w:pPr>
          </w:p>
        </w:tc>
      </w:tr>
      <w:tr w14:paraId="23365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2" w:hRule="atLeast"/>
        </w:trPr>
        <w:tc>
          <w:tcPr>
            <w:tcW w:w="357" w:type="dxa"/>
            <w:tcBorders>
              <w:left w:val="single" w:color="000000" w:sz="4" w:space="0"/>
              <w:bottom w:val="single" w:color="000000" w:sz="4" w:space="0"/>
              <w:right w:val="single" w:color="000000" w:sz="4" w:space="0"/>
            </w:tcBorders>
            <w:shd w:val="clear" w:color="auto" w:fill="auto"/>
            <w:textDirection w:val="tbRlV"/>
            <w:vAlign w:val="center"/>
          </w:tcPr>
          <w:p w14:paraId="69C1DDF9">
            <w:pPr>
              <w:jc w:val="center"/>
              <w:rPr>
                <w:rFonts w:hint="eastAsia" w:ascii="宋体" w:hAnsi="宋体" w:eastAsia="宋体" w:cs="宋体"/>
                <w:i w:val="0"/>
                <w:color w:val="000000"/>
                <w:sz w:val="18"/>
                <w:szCs w:val="18"/>
                <w:u w:val="none"/>
              </w:rPr>
            </w:pPr>
          </w:p>
        </w:tc>
        <w:tc>
          <w:tcPr>
            <w:tcW w:w="1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87F02">
            <w:pPr>
              <w:jc w:val="center"/>
              <w:rPr>
                <w:rFonts w:hint="eastAsia" w:ascii="宋体" w:hAnsi="宋体" w:eastAsia="宋体" w:cs="宋体"/>
                <w:i w:val="0"/>
                <w:color w:val="000000"/>
                <w:sz w:val="18"/>
                <w:szCs w:val="18"/>
                <w:u w:val="none"/>
              </w:rPr>
            </w:pPr>
          </w:p>
        </w:tc>
        <w:tc>
          <w:tcPr>
            <w:tcW w:w="946" w:type="dxa"/>
            <w:vMerge w:val="continue"/>
            <w:tcBorders>
              <w:top w:val="single" w:color="000000" w:sz="4" w:space="0"/>
              <w:left w:val="single" w:color="000000" w:sz="4" w:space="0"/>
              <w:right w:val="single" w:color="000000" w:sz="4" w:space="0"/>
            </w:tcBorders>
            <w:shd w:val="clear" w:color="auto" w:fill="auto"/>
            <w:vAlign w:val="center"/>
          </w:tcPr>
          <w:p w14:paraId="3ADCE073">
            <w:pPr>
              <w:jc w:val="center"/>
              <w:rPr>
                <w:rFonts w:hint="eastAsia" w:ascii="宋体" w:hAnsi="宋体" w:eastAsia="宋体" w:cs="宋体"/>
                <w:i w:val="0"/>
                <w:color w:val="000000"/>
                <w:sz w:val="18"/>
                <w:szCs w:val="18"/>
                <w:u w:val="none"/>
              </w:rPr>
            </w:pPr>
          </w:p>
        </w:tc>
        <w:tc>
          <w:tcPr>
            <w:tcW w:w="1539" w:type="dxa"/>
            <w:tcBorders>
              <w:top w:val="single" w:color="000000" w:sz="4" w:space="0"/>
              <w:left w:val="single" w:color="000000" w:sz="4" w:space="0"/>
              <w:right w:val="single" w:color="000000" w:sz="4" w:space="0"/>
            </w:tcBorders>
            <w:shd w:val="clear" w:color="auto" w:fill="auto"/>
            <w:vAlign w:val="center"/>
          </w:tcPr>
          <w:p w14:paraId="2437B5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公立医院住院患者满意度</w:t>
            </w:r>
          </w:p>
        </w:tc>
        <w:tc>
          <w:tcPr>
            <w:tcW w:w="1339" w:type="dxa"/>
            <w:tcBorders>
              <w:top w:val="single" w:color="000000" w:sz="4" w:space="0"/>
              <w:left w:val="single" w:color="000000" w:sz="4" w:space="0"/>
              <w:right w:val="single" w:color="000000" w:sz="4" w:space="0"/>
            </w:tcBorders>
            <w:shd w:val="clear" w:color="auto" w:fill="auto"/>
            <w:vAlign w:val="center"/>
          </w:tcPr>
          <w:p w14:paraId="1352253D">
            <w:pPr>
              <w:jc w:val="center"/>
              <w:rPr>
                <w:rFonts w:hint="eastAsia" w:ascii="宋体" w:hAnsi="宋体" w:eastAsia="宋体" w:cs="宋体"/>
                <w:i w:val="0"/>
                <w:color w:val="000000"/>
                <w:sz w:val="18"/>
                <w:szCs w:val="18"/>
                <w:u w:val="none"/>
              </w:rPr>
            </w:pPr>
          </w:p>
        </w:tc>
        <w:tc>
          <w:tcPr>
            <w:tcW w:w="1592" w:type="dxa"/>
            <w:tcBorders>
              <w:top w:val="single" w:color="000000" w:sz="4" w:space="0"/>
              <w:left w:val="single" w:color="000000" w:sz="4" w:space="0"/>
              <w:right w:val="single" w:color="000000" w:sz="4" w:space="0"/>
            </w:tcBorders>
            <w:shd w:val="clear" w:color="auto" w:fill="auto"/>
            <w:vAlign w:val="center"/>
          </w:tcPr>
          <w:p w14:paraId="1AD68531">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≥90</w:t>
            </w:r>
            <w:r>
              <w:rPr>
                <w:rFonts w:hint="eastAsia" w:ascii="宋体" w:hAnsi="宋体" w:eastAsia="宋体" w:cs="宋体"/>
                <w:i w:val="0"/>
                <w:color w:val="000000"/>
                <w:kern w:val="0"/>
                <w:sz w:val="18"/>
                <w:szCs w:val="18"/>
                <w:u w:val="none"/>
                <w:lang w:val="en-US" w:eastAsia="zh-CN" w:bidi="ar"/>
              </w:rPr>
              <w:t>%</w:t>
            </w:r>
          </w:p>
        </w:tc>
        <w:tc>
          <w:tcPr>
            <w:tcW w:w="1564" w:type="dxa"/>
            <w:tcBorders>
              <w:top w:val="single" w:color="000000" w:sz="4" w:space="0"/>
              <w:left w:val="single" w:color="000000" w:sz="4" w:space="0"/>
              <w:right w:val="single" w:color="000000" w:sz="4" w:space="0"/>
            </w:tcBorders>
            <w:shd w:val="clear" w:color="auto" w:fill="auto"/>
            <w:vAlign w:val="center"/>
          </w:tcPr>
          <w:p w14:paraId="58D10DC6">
            <w:pPr>
              <w:jc w:val="center"/>
              <w:rPr>
                <w:rFonts w:hint="eastAsia" w:ascii="宋体" w:hAnsi="宋体" w:eastAsia="宋体" w:cs="宋体"/>
                <w:i w:val="0"/>
                <w:color w:val="000000"/>
                <w:sz w:val="18"/>
                <w:szCs w:val="18"/>
                <w:u w:val="none"/>
              </w:rPr>
            </w:pPr>
          </w:p>
        </w:tc>
      </w:tr>
      <w:tr w14:paraId="0A249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61" w:hRule="atLeast"/>
        </w:trPr>
        <w:tc>
          <w:tcPr>
            <w:tcW w:w="38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59E14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财政资金管理科室（盖章）</w:t>
            </w:r>
          </w:p>
          <w:p w14:paraId="26C1D4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    月     日</w:t>
            </w:r>
          </w:p>
        </w:tc>
        <w:tc>
          <w:tcPr>
            <w:tcW w:w="44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B47EB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财政绩效管理科室（盖章）</w:t>
            </w:r>
          </w:p>
          <w:p w14:paraId="022CD4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    月     日</w:t>
            </w:r>
          </w:p>
        </w:tc>
      </w:tr>
    </w:tbl>
    <w:p w14:paraId="341DAFD4">
      <w:pPr>
        <w:pStyle w:val="6"/>
        <w:keepNext w:val="0"/>
        <w:keepLines w:val="0"/>
        <w:pageBreakBefore w:val="0"/>
        <w:widowControl w:val="0"/>
        <w:numPr>
          <w:ilvl w:val="0"/>
          <w:numId w:val="0"/>
        </w:numPr>
        <w:kinsoku/>
        <w:wordWrap/>
        <w:overflowPunct/>
        <w:topLinePunct w:val="0"/>
        <w:autoSpaceDE/>
        <w:autoSpaceDN/>
        <w:bidi w:val="0"/>
        <w:spacing w:line="460" w:lineRule="atLeast"/>
        <w:jc w:val="both"/>
        <w:textAlignment w:val="auto"/>
        <w:rPr>
          <w:rFonts w:hint="eastAsia" w:ascii="仿宋_GB2312" w:eastAsia="仿宋_GB2312"/>
          <w:b/>
          <w:bCs/>
          <w:color w:val="000000"/>
          <w:sz w:val="36"/>
          <w:szCs w:val="36"/>
          <w:highlight w:val="none"/>
          <w:lang w:val="en-US" w:eastAsia="zh-CN"/>
        </w:rPr>
      </w:pPr>
    </w:p>
    <w:tbl>
      <w:tblPr>
        <w:tblStyle w:val="3"/>
        <w:tblW w:w="8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8"/>
        <w:gridCol w:w="1018"/>
        <w:gridCol w:w="919"/>
        <w:gridCol w:w="1500"/>
        <w:gridCol w:w="1306"/>
        <w:gridCol w:w="1544"/>
        <w:gridCol w:w="1525"/>
      </w:tblGrid>
      <w:tr w14:paraId="399E9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9" w:hRule="atLeast"/>
        </w:trPr>
        <w:tc>
          <w:tcPr>
            <w:tcW w:w="8160" w:type="dxa"/>
            <w:gridSpan w:val="7"/>
            <w:shd w:val="clear" w:color="auto" w:fill="auto"/>
            <w:vAlign w:val="center"/>
          </w:tcPr>
          <w:p w14:paraId="5704E4EC">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项目支出绩效目标批复表</w:t>
            </w:r>
          </w:p>
        </w:tc>
      </w:tr>
      <w:tr w14:paraId="082BF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7" w:hRule="atLeast"/>
        </w:trPr>
        <w:tc>
          <w:tcPr>
            <w:tcW w:w="8160" w:type="dxa"/>
            <w:gridSpan w:val="7"/>
            <w:shd w:val="clear" w:color="auto" w:fill="auto"/>
            <w:vAlign w:val="center"/>
          </w:tcPr>
          <w:p w14:paraId="61236D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14:paraId="7D38A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atLeast"/>
        </w:trPr>
        <w:tc>
          <w:tcPr>
            <w:tcW w:w="8160" w:type="dxa"/>
            <w:gridSpan w:val="7"/>
            <w:tcBorders>
              <w:bottom w:val="single" w:color="000000" w:sz="4" w:space="0"/>
            </w:tcBorders>
            <w:shd w:val="clear" w:color="auto" w:fill="auto"/>
            <w:vAlign w:val="center"/>
          </w:tcPr>
          <w:p w14:paraId="50377F9D">
            <w:pPr>
              <w:jc w:val="left"/>
              <w:rPr>
                <w:rFonts w:hint="eastAsia" w:ascii="宋体" w:hAnsi="宋体" w:eastAsia="宋体" w:cs="宋体"/>
                <w:i w:val="0"/>
                <w:color w:val="000000"/>
                <w:sz w:val="22"/>
                <w:szCs w:val="22"/>
                <w:u w:val="none"/>
              </w:rPr>
            </w:pPr>
          </w:p>
        </w:tc>
      </w:tr>
      <w:tr w14:paraId="38091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1" w:hRule="atLeast"/>
        </w:trPr>
        <w:tc>
          <w:tcPr>
            <w:tcW w:w="1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E68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FCE5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黄石市医疗纠纷人民调解委员会工作经费</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0A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项目负责人</w:t>
            </w:r>
          </w:p>
        </w:tc>
        <w:tc>
          <w:tcPr>
            <w:tcW w:w="3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05663">
            <w:pPr>
              <w:jc w:val="center"/>
              <w:rPr>
                <w:rFonts w:hint="eastAsia" w:ascii="宋体" w:hAnsi="宋体" w:eastAsia="宋体" w:cs="宋体"/>
                <w:i w:val="0"/>
                <w:color w:val="000000"/>
                <w:sz w:val="18"/>
                <w:szCs w:val="18"/>
                <w:u w:val="none"/>
              </w:rPr>
            </w:pPr>
          </w:p>
        </w:tc>
      </w:tr>
      <w:tr w14:paraId="17163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1" w:hRule="atLeast"/>
        </w:trPr>
        <w:tc>
          <w:tcPr>
            <w:tcW w:w="1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AB5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项目金额</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C314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25万</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37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其中：当年市级财政资金</w:t>
            </w:r>
          </w:p>
        </w:tc>
        <w:tc>
          <w:tcPr>
            <w:tcW w:w="3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F27B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25万</w:t>
            </w:r>
          </w:p>
        </w:tc>
      </w:tr>
      <w:tr w14:paraId="4C8AF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trPr>
        <w:tc>
          <w:tcPr>
            <w:tcW w:w="1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96B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项目主管部门</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75B7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黄石市卫生健康委员会</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14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06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09C0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黄石市卫生健康委员会</w:t>
            </w:r>
          </w:p>
        </w:tc>
      </w:tr>
      <w:tr w14:paraId="59F0D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7" w:hRule="atLeast"/>
        </w:trPr>
        <w:tc>
          <w:tcPr>
            <w:tcW w:w="1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303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项目属性</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75D8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持续性项目■</w:t>
            </w:r>
            <w:r>
              <w:rPr>
                <w:rStyle w:val="12"/>
                <w:lang w:val="en-US" w:eastAsia="zh-CN" w:bidi="ar"/>
              </w:rPr>
              <w:t xml:space="preserve">    新增性项目口</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7B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项目期</w:t>
            </w:r>
          </w:p>
        </w:tc>
        <w:tc>
          <w:tcPr>
            <w:tcW w:w="30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01C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w:t>
            </w:r>
          </w:p>
        </w:tc>
      </w:tr>
      <w:tr w14:paraId="7AE1C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6" w:hRule="atLeast"/>
        </w:trPr>
        <w:tc>
          <w:tcPr>
            <w:tcW w:w="13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17D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年度绩效目标    （文字）</w:t>
            </w:r>
          </w:p>
        </w:tc>
        <w:tc>
          <w:tcPr>
            <w:tcW w:w="67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8AA3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有效使我市医闹现象逐年呈下降趋势，还有效防止了医患矛盾激化，维护社会稳定、促进社会和谐，维护医患双方的合法权益。通过调解窗口，充分展示了市政府执政、施政理念。</w:t>
            </w:r>
          </w:p>
        </w:tc>
      </w:tr>
      <w:tr w14:paraId="13DA4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7" w:hRule="atLeast"/>
        </w:trPr>
        <w:tc>
          <w:tcPr>
            <w:tcW w:w="34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D4E29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3B8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50A2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4A0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C1C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980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指标标准或依据</w:t>
            </w:r>
          </w:p>
        </w:tc>
      </w:tr>
      <w:tr w14:paraId="2A62C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9" w:hRule="atLeast"/>
        </w:trPr>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560CF99">
            <w:pPr>
              <w:jc w:val="center"/>
              <w:rPr>
                <w:rFonts w:hint="eastAsia" w:ascii="宋体" w:hAnsi="宋体" w:eastAsia="宋体" w:cs="宋体"/>
                <w:i w:val="0"/>
                <w:color w:val="000000"/>
                <w:sz w:val="18"/>
                <w:szCs w:val="18"/>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41CAA">
            <w:pPr>
              <w:jc w:val="center"/>
              <w:rPr>
                <w:rFonts w:hint="eastAsia" w:ascii="宋体" w:hAnsi="宋体" w:eastAsia="宋体" w:cs="宋体"/>
                <w:i w:val="0"/>
                <w:color w:val="000000"/>
                <w:sz w:val="18"/>
                <w:szCs w:val="18"/>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9A3A7">
            <w:pPr>
              <w:jc w:val="center"/>
              <w:rPr>
                <w:rFonts w:hint="eastAsia" w:ascii="宋体" w:hAnsi="宋体" w:eastAsia="宋体" w:cs="宋体"/>
                <w:i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459BB">
            <w:pPr>
              <w:jc w:val="center"/>
              <w:rPr>
                <w:rFonts w:hint="eastAsia" w:ascii="宋体" w:hAnsi="宋体" w:eastAsia="宋体" w:cs="宋体"/>
                <w:i w:val="0"/>
                <w:color w:val="000000"/>
                <w:sz w:val="18"/>
                <w:szCs w:val="18"/>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01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2023年实际实现值</w:t>
            </w: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83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预期2024年实现值</w:t>
            </w: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67097">
            <w:pPr>
              <w:jc w:val="center"/>
              <w:rPr>
                <w:rFonts w:hint="eastAsia" w:ascii="宋体" w:hAnsi="宋体" w:eastAsia="宋体" w:cs="宋体"/>
                <w:i w:val="0"/>
                <w:color w:val="000000"/>
                <w:sz w:val="18"/>
                <w:szCs w:val="18"/>
                <w:u w:val="none"/>
              </w:rPr>
            </w:pPr>
          </w:p>
        </w:tc>
      </w:tr>
      <w:tr w14:paraId="73F7F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3" w:hRule="atLeast"/>
        </w:trPr>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FF2E4E5">
            <w:pPr>
              <w:jc w:val="center"/>
              <w:rPr>
                <w:rFonts w:hint="eastAsia" w:ascii="宋体" w:hAnsi="宋体" w:eastAsia="宋体" w:cs="宋体"/>
                <w:i w:val="0"/>
                <w:color w:val="000000"/>
                <w:sz w:val="18"/>
                <w:szCs w:val="18"/>
                <w:u w:val="none"/>
              </w:rPr>
            </w:pPr>
          </w:p>
        </w:tc>
        <w:tc>
          <w:tcPr>
            <w:tcW w:w="1018" w:type="dxa"/>
            <w:tcBorders>
              <w:top w:val="single" w:color="000000" w:sz="4" w:space="0"/>
              <w:left w:val="single" w:color="000000" w:sz="4" w:space="0"/>
              <w:right w:val="single" w:color="000000" w:sz="4" w:space="0"/>
            </w:tcBorders>
            <w:shd w:val="clear" w:color="auto" w:fill="auto"/>
            <w:vAlign w:val="center"/>
          </w:tcPr>
          <w:p w14:paraId="01E61E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919" w:type="dxa"/>
            <w:tcBorders>
              <w:top w:val="single" w:color="000000" w:sz="4" w:space="0"/>
              <w:left w:val="single" w:color="000000" w:sz="4" w:space="0"/>
              <w:right w:val="single" w:color="000000" w:sz="4" w:space="0"/>
            </w:tcBorders>
            <w:shd w:val="clear" w:color="auto" w:fill="auto"/>
            <w:vAlign w:val="center"/>
          </w:tcPr>
          <w:p w14:paraId="05AB3B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500" w:type="dxa"/>
            <w:tcBorders>
              <w:top w:val="single" w:color="000000" w:sz="4" w:space="0"/>
              <w:left w:val="single" w:color="000000" w:sz="4" w:space="0"/>
              <w:right w:val="single" w:color="000000" w:sz="4" w:space="0"/>
            </w:tcBorders>
            <w:shd w:val="clear" w:color="auto" w:fill="auto"/>
            <w:vAlign w:val="center"/>
          </w:tcPr>
          <w:p w14:paraId="45105E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机构运行经费25万元，其中，人员工资21万元，日常运行经费4万元</w:t>
            </w:r>
          </w:p>
        </w:tc>
        <w:tc>
          <w:tcPr>
            <w:tcW w:w="1306" w:type="dxa"/>
            <w:tcBorders>
              <w:top w:val="single" w:color="000000" w:sz="4" w:space="0"/>
              <w:left w:val="single" w:color="000000" w:sz="4" w:space="0"/>
              <w:right w:val="single" w:color="000000" w:sz="4" w:space="0"/>
            </w:tcBorders>
            <w:shd w:val="clear" w:color="auto" w:fill="auto"/>
            <w:vAlign w:val="center"/>
          </w:tcPr>
          <w:p w14:paraId="0E0B4CB3">
            <w:pPr>
              <w:jc w:val="center"/>
              <w:rPr>
                <w:rFonts w:hint="eastAsia" w:ascii="宋体" w:hAnsi="宋体" w:eastAsia="宋体" w:cs="宋体"/>
                <w:i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E6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25万</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07C50">
            <w:pPr>
              <w:jc w:val="center"/>
              <w:rPr>
                <w:rFonts w:hint="eastAsia" w:ascii="宋体" w:hAnsi="宋体" w:eastAsia="宋体" w:cs="宋体"/>
                <w:i w:val="0"/>
                <w:color w:val="000000"/>
                <w:sz w:val="18"/>
                <w:szCs w:val="18"/>
                <w:u w:val="none"/>
              </w:rPr>
            </w:pPr>
          </w:p>
        </w:tc>
      </w:tr>
      <w:tr w14:paraId="36520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3" w:hRule="atLeast"/>
        </w:trPr>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F5453FE">
            <w:pPr>
              <w:jc w:val="center"/>
              <w:rPr>
                <w:rFonts w:hint="eastAsia" w:ascii="宋体" w:hAnsi="宋体" w:eastAsia="宋体" w:cs="宋体"/>
                <w:i w:val="0"/>
                <w:color w:val="000000"/>
                <w:sz w:val="18"/>
                <w:szCs w:val="18"/>
                <w:u w:val="none"/>
              </w:rPr>
            </w:pPr>
          </w:p>
        </w:tc>
        <w:tc>
          <w:tcPr>
            <w:tcW w:w="1018" w:type="dxa"/>
            <w:vMerge w:val="restart"/>
            <w:tcBorders>
              <w:top w:val="single" w:color="000000" w:sz="4" w:space="0"/>
              <w:left w:val="single" w:color="000000" w:sz="4" w:space="0"/>
              <w:right w:val="single" w:color="000000" w:sz="4" w:space="0"/>
            </w:tcBorders>
            <w:shd w:val="clear" w:color="auto" w:fill="auto"/>
            <w:vAlign w:val="center"/>
          </w:tcPr>
          <w:p w14:paraId="68DB54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919" w:type="dxa"/>
            <w:tcBorders>
              <w:top w:val="single" w:color="000000" w:sz="4" w:space="0"/>
              <w:left w:val="single" w:color="000000" w:sz="4" w:space="0"/>
              <w:right w:val="single" w:color="000000" w:sz="4" w:space="0"/>
            </w:tcBorders>
            <w:shd w:val="clear" w:color="auto" w:fill="auto"/>
            <w:vAlign w:val="center"/>
          </w:tcPr>
          <w:p w14:paraId="02D301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500" w:type="dxa"/>
            <w:tcBorders>
              <w:top w:val="single" w:color="000000" w:sz="4" w:space="0"/>
              <w:left w:val="single" w:color="000000" w:sz="4" w:space="0"/>
              <w:right w:val="single" w:color="000000" w:sz="4" w:space="0"/>
            </w:tcBorders>
            <w:shd w:val="clear" w:color="auto" w:fill="auto"/>
            <w:vAlign w:val="center"/>
          </w:tcPr>
          <w:p w14:paraId="12B34B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2024年受理案件</w:t>
            </w:r>
          </w:p>
        </w:tc>
        <w:tc>
          <w:tcPr>
            <w:tcW w:w="1306" w:type="dxa"/>
            <w:tcBorders>
              <w:top w:val="single" w:color="000000" w:sz="4" w:space="0"/>
              <w:left w:val="single" w:color="000000" w:sz="4" w:space="0"/>
              <w:right w:val="single" w:color="000000" w:sz="4" w:space="0"/>
            </w:tcBorders>
            <w:shd w:val="clear" w:color="auto" w:fill="auto"/>
            <w:vAlign w:val="center"/>
          </w:tcPr>
          <w:p w14:paraId="47A2BDC7">
            <w:pPr>
              <w:jc w:val="center"/>
              <w:rPr>
                <w:rFonts w:hint="eastAsia" w:ascii="宋体" w:hAnsi="宋体" w:eastAsia="宋体" w:cs="宋体"/>
                <w:i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46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48件</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334E3">
            <w:pPr>
              <w:jc w:val="center"/>
              <w:rPr>
                <w:rFonts w:hint="eastAsia" w:ascii="宋体" w:hAnsi="宋体" w:eastAsia="宋体" w:cs="宋体"/>
                <w:i w:val="0"/>
                <w:color w:val="000000"/>
                <w:sz w:val="18"/>
                <w:szCs w:val="18"/>
                <w:u w:val="none"/>
              </w:rPr>
            </w:pPr>
          </w:p>
        </w:tc>
      </w:tr>
      <w:tr w14:paraId="0420A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 w:hRule="atLeast"/>
        </w:trPr>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9D13DB">
            <w:pPr>
              <w:jc w:val="center"/>
              <w:rPr>
                <w:rFonts w:hint="eastAsia" w:ascii="宋体" w:hAnsi="宋体" w:eastAsia="宋体" w:cs="宋体"/>
                <w:i w:val="0"/>
                <w:color w:val="000000"/>
                <w:sz w:val="18"/>
                <w:szCs w:val="18"/>
                <w:u w:val="none"/>
              </w:rPr>
            </w:pPr>
          </w:p>
        </w:tc>
        <w:tc>
          <w:tcPr>
            <w:tcW w:w="1018" w:type="dxa"/>
            <w:vMerge w:val="continue"/>
            <w:tcBorders>
              <w:top w:val="single" w:color="000000" w:sz="4" w:space="0"/>
              <w:left w:val="single" w:color="000000" w:sz="4" w:space="0"/>
              <w:right w:val="single" w:color="000000" w:sz="4" w:space="0"/>
            </w:tcBorders>
            <w:shd w:val="clear" w:color="auto" w:fill="auto"/>
            <w:vAlign w:val="center"/>
          </w:tcPr>
          <w:p w14:paraId="19EE1119">
            <w:pPr>
              <w:jc w:val="center"/>
              <w:rPr>
                <w:rFonts w:hint="eastAsia" w:ascii="宋体" w:hAnsi="宋体" w:eastAsia="宋体" w:cs="宋体"/>
                <w:i w:val="0"/>
                <w:color w:val="000000"/>
                <w:sz w:val="18"/>
                <w:szCs w:val="18"/>
                <w:u w:val="none"/>
              </w:rPr>
            </w:pPr>
          </w:p>
        </w:tc>
        <w:tc>
          <w:tcPr>
            <w:tcW w:w="919" w:type="dxa"/>
            <w:tcBorders>
              <w:top w:val="single" w:color="000000" w:sz="4" w:space="0"/>
              <w:left w:val="single" w:color="000000" w:sz="4" w:space="0"/>
              <w:right w:val="single" w:color="000000" w:sz="4" w:space="0"/>
            </w:tcBorders>
            <w:shd w:val="clear" w:color="auto" w:fill="auto"/>
            <w:vAlign w:val="center"/>
          </w:tcPr>
          <w:p w14:paraId="38A663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49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受理案件结案率</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FBAE">
            <w:pPr>
              <w:jc w:val="center"/>
              <w:rPr>
                <w:rFonts w:hint="eastAsia" w:ascii="宋体" w:hAnsi="宋体" w:eastAsia="宋体" w:cs="宋体"/>
                <w:i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C789">
            <w:pPr>
              <w:keepNext w:val="0"/>
              <w:keepLines w:val="0"/>
              <w:widowControl/>
              <w:suppressLineNumbers w:val="0"/>
              <w:jc w:val="center"/>
              <w:textAlignment w:val="center"/>
              <w:rPr>
                <w:rFonts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r>
              <w:rPr>
                <w:rStyle w:val="13"/>
                <w:lang w:val="en-US" w:eastAsia="zh-CN" w:bidi="ar"/>
              </w:rPr>
              <w:t>90%</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AA16">
            <w:pPr>
              <w:jc w:val="center"/>
              <w:rPr>
                <w:rFonts w:hint="eastAsia" w:ascii="宋体" w:hAnsi="宋体" w:eastAsia="宋体" w:cs="宋体"/>
                <w:i w:val="0"/>
                <w:color w:val="000000"/>
                <w:sz w:val="18"/>
                <w:szCs w:val="18"/>
                <w:u w:val="none"/>
              </w:rPr>
            </w:pPr>
          </w:p>
        </w:tc>
      </w:tr>
      <w:tr w14:paraId="51118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6" w:hRule="atLeast"/>
        </w:trPr>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AB03903">
            <w:pPr>
              <w:jc w:val="center"/>
              <w:rPr>
                <w:rFonts w:hint="eastAsia" w:ascii="宋体" w:hAnsi="宋体" w:eastAsia="宋体" w:cs="宋体"/>
                <w:i w:val="0"/>
                <w:color w:val="000000"/>
                <w:sz w:val="18"/>
                <w:szCs w:val="18"/>
                <w:u w:val="none"/>
              </w:rPr>
            </w:pPr>
          </w:p>
        </w:tc>
        <w:tc>
          <w:tcPr>
            <w:tcW w:w="1018" w:type="dxa"/>
            <w:vMerge w:val="continue"/>
            <w:tcBorders>
              <w:top w:val="single" w:color="000000" w:sz="4" w:space="0"/>
              <w:left w:val="single" w:color="000000" w:sz="4" w:space="0"/>
              <w:right w:val="single" w:color="000000" w:sz="4" w:space="0"/>
            </w:tcBorders>
            <w:shd w:val="clear" w:color="auto" w:fill="auto"/>
            <w:vAlign w:val="center"/>
          </w:tcPr>
          <w:p w14:paraId="40E7FD33">
            <w:pPr>
              <w:jc w:val="center"/>
              <w:rPr>
                <w:rFonts w:hint="eastAsia" w:ascii="宋体" w:hAnsi="宋体" w:eastAsia="宋体" w:cs="宋体"/>
                <w:i w:val="0"/>
                <w:color w:val="000000"/>
                <w:sz w:val="18"/>
                <w:szCs w:val="18"/>
                <w:u w:val="none"/>
              </w:rPr>
            </w:pPr>
          </w:p>
        </w:tc>
        <w:tc>
          <w:tcPr>
            <w:tcW w:w="919" w:type="dxa"/>
            <w:tcBorders>
              <w:top w:val="single" w:color="000000" w:sz="4" w:space="0"/>
              <w:left w:val="single" w:color="000000" w:sz="4" w:space="0"/>
              <w:right w:val="single" w:color="000000" w:sz="4" w:space="0"/>
            </w:tcBorders>
            <w:shd w:val="clear" w:color="auto" w:fill="auto"/>
            <w:vAlign w:val="center"/>
          </w:tcPr>
          <w:p w14:paraId="17FFCC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85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受理案件到成功办结平均时间1个月左右</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C088">
            <w:pPr>
              <w:jc w:val="center"/>
              <w:rPr>
                <w:rFonts w:hint="eastAsia" w:ascii="宋体" w:hAnsi="宋体" w:eastAsia="宋体" w:cs="宋体"/>
                <w:i w:val="0"/>
                <w:color w:val="000000"/>
                <w:sz w:val="18"/>
                <w:szCs w:val="18"/>
                <w:u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62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1个月左右</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4BB6">
            <w:pPr>
              <w:jc w:val="center"/>
              <w:rPr>
                <w:rFonts w:hint="eastAsia" w:ascii="宋体" w:hAnsi="宋体" w:eastAsia="宋体" w:cs="宋体"/>
                <w:i w:val="0"/>
                <w:color w:val="000000"/>
                <w:sz w:val="18"/>
                <w:szCs w:val="18"/>
                <w:u w:val="none"/>
              </w:rPr>
            </w:pPr>
          </w:p>
        </w:tc>
      </w:tr>
      <w:tr w14:paraId="76220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47" w:hRule="atLeast"/>
        </w:trPr>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D2C056">
            <w:pPr>
              <w:jc w:val="center"/>
              <w:rPr>
                <w:rFonts w:hint="eastAsia" w:ascii="宋体" w:hAnsi="宋体" w:eastAsia="宋体" w:cs="宋体"/>
                <w:i w:val="0"/>
                <w:color w:val="000000"/>
                <w:sz w:val="18"/>
                <w:szCs w:val="18"/>
                <w:u w:val="none"/>
              </w:rPr>
            </w:pP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F16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919" w:type="dxa"/>
            <w:tcBorders>
              <w:top w:val="single" w:color="000000" w:sz="4" w:space="0"/>
              <w:left w:val="single" w:color="000000" w:sz="4" w:space="0"/>
              <w:right w:val="single" w:color="000000" w:sz="4" w:space="0"/>
            </w:tcBorders>
            <w:shd w:val="clear" w:color="auto" w:fill="auto"/>
            <w:vAlign w:val="center"/>
          </w:tcPr>
          <w:p w14:paraId="6B0CD6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500" w:type="dxa"/>
            <w:tcBorders>
              <w:top w:val="single" w:color="000000" w:sz="4" w:space="0"/>
              <w:left w:val="single" w:color="000000" w:sz="4" w:space="0"/>
              <w:right w:val="single" w:color="000000" w:sz="4" w:space="0"/>
            </w:tcBorders>
            <w:shd w:val="clear" w:color="auto" w:fill="auto"/>
            <w:vAlign w:val="center"/>
          </w:tcPr>
          <w:p w14:paraId="043215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为患者争取赔偿，为医院减少赔偿金，有效缓解了医患矛盾，优化医疗环境，维护了患者的正常权益</w:t>
            </w:r>
          </w:p>
        </w:tc>
        <w:tc>
          <w:tcPr>
            <w:tcW w:w="1306" w:type="dxa"/>
            <w:tcBorders>
              <w:top w:val="single" w:color="000000" w:sz="4" w:space="0"/>
              <w:left w:val="single" w:color="000000" w:sz="4" w:space="0"/>
              <w:right w:val="single" w:color="000000" w:sz="4" w:space="0"/>
            </w:tcBorders>
            <w:shd w:val="clear" w:color="auto" w:fill="auto"/>
            <w:vAlign w:val="center"/>
          </w:tcPr>
          <w:p w14:paraId="28799D0C">
            <w:pPr>
              <w:jc w:val="center"/>
              <w:rPr>
                <w:rFonts w:hint="eastAsia" w:ascii="宋体" w:hAnsi="宋体" w:eastAsia="宋体" w:cs="宋体"/>
                <w:i w:val="0"/>
                <w:color w:val="000000"/>
                <w:sz w:val="18"/>
                <w:szCs w:val="18"/>
                <w:u w:val="none"/>
              </w:rPr>
            </w:pPr>
          </w:p>
        </w:tc>
        <w:tc>
          <w:tcPr>
            <w:tcW w:w="1544" w:type="dxa"/>
            <w:tcBorders>
              <w:top w:val="single" w:color="000000" w:sz="4" w:space="0"/>
              <w:left w:val="single" w:color="000000" w:sz="4" w:space="0"/>
              <w:right w:val="single" w:color="000000" w:sz="4" w:space="0"/>
            </w:tcBorders>
            <w:shd w:val="clear" w:color="auto" w:fill="auto"/>
            <w:vAlign w:val="center"/>
          </w:tcPr>
          <w:p w14:paraId="5B7AE7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c>
          <w:tcPr>
            <w:tcW w:w="1525" w:type="dxa"/>
            <w:tcBorders>
              <w:top w:val="single" w:color="000000" w:sz="4" w:space="0"/>
              <w:left w:val="single" w:color="000000" w:sz="4" w:space="0"/>
              <w:right w:val="single" w:color="000000" w:sz="4" w:space="0"/>
            </w:tcBorders>
            <w:shd w:val="clear" w:color="auto" w:fill="auto"/>
            <w:vAlign w:val="center"/>
          </w:tcPr>
          <w:p w14:paraId="3E7082CB">
            <w:pPr>
              <w:jc w:val="center"/>
              <w:rPr>
                <w:rFonts w:hint="eastAsia" w:ascii="宋体" w:hAnsi="宋体" w:eastAsia="宋体" w:cs="宋体"/>
                <w:i w:val="0"/>
                <w:color w:val="000000"/>
                <w:sz w:val="18"/>
                <w:szCs w:val="18"/>
                <w:u w:val="none"/>
              </w:rPr>
            </w:pPr>
          </w:p>
        </w:tc>
      </w:tr>
      <w:tr w14:paraId="78251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B7E9F87">
            <w:pPr>
              <w:jc w:val="center"/>
              <w:rPr>
                <w:rFonts w:hint="eastAsia" w:ascii="宋体" w:hAnsi="宋体" w:eastAsia="宋体" w:cs="宋体"/>
                <w:i w:val="0"/>
                <w:color w:val="000000"/>
                <w:sz w:val="18"/>
                <w:szCs w:val="18"/>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6ACBA">
            <w:pPr>
              <w:jc w:val="center"/>
              <w:rPr>
                <w:rFonts w:hint="eastAsia" w:ascii="宋体" w:hAnsi="宋体" w:eastAsia="宋体" w:cs="宋体"/>
                <w:i w:val="0"/>
                <w:color w:val="000000"/>
                <w:sz w:val="18"/>
                <w:szCs w:val="18"/>
                <w:u w:val="none"/>
              </w:rPr>
            </w:pPr>
          </w:p>
        </w:tc>
        <w:tc>
          <w:tcPr>
            <w:tcW w:w="919" w:type="dxa"/>
            <w:tcBorders>
              <w:top w:val="single" w:color="000000" w:sz="4" w:space="0"/>
              <w:left w:val="single" w:color="000000" w:sz="4" w:space="0"/>
              <w:right w:val="single" w:color="000000" w:sz="4" w:space="0"/>
            </w:tcBorders>
            <w:shd w:val="clear" w:color="auto" w:fill="auto"/>
            <w:vAlign w:val="center"/>
          </w:tcPr>
          <w:p w14:paraId="0F0CD3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500" w:type="dxa"/>
            <w:tcBorders>
              <w:top w:val="single" w:color="000000" w:sz="4" w:space="0"/>
              <w:left w:val="single" w:color="000000" w:sz="4" w:space="0"/>
              <w:right w:val="single" w:color="000000" w:sz="4" w:space="0"/>
            </w:tcBorders>
            <w:shd w:val="clear" w:color="auto" w:fill="auto"/>
            <w:vAlign w:val="center"/>
          </w:tcPr>
          <w:p w14:paraId="607416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全市医疗纠纷和医闹上访事件逐年递减，医患关系得到改善，就医环境得到了优化。</w:t>
            </w:r>
          </w:p>
        </w:tc>
        <w:tc>
          <w:tcPr>
            <w:tcW w:w="1306" w:type="dxa"/>
            <w:tcBorders>
              <w:top w:val="single" w:color="000000" w:sz="4" w:space="0"/>
              <w:left w:val="single" w:color="000000" w:sz="4" w:space="0"/>
              <w:right w:val="single" w:color="000000" w:sz="4" w:space="0"/>
            </w:tcBorders>
            <w:shd w:val="clear" w:color="auto" w:fill="auto"/>
            <w:vAlign w:val="center"/>
          </w:tcPr>
          <w:p w14:paraId="38BFFCD8">
            <w:pPr>
              <w:jc w:val="center"/>
              <w:rPr>
                <w:rFonts w:hint="eastAsia" w:ascii="宋体" w:hAnsi="宋体" w:eastAsia="宋体" w:cs="宋体"/>
                <w:i w:val="0"/>
                <w:color w:val="000000"/>
                <w:sz w:val="18"/>
                <w:szCs w:val="18"/>
                <w:u w:val="none"/>
              </w:rPr>
            </w:pPr>
          </w:p>
        </w:tc>
        <w:tc>
          <w:tcPr>
            <w:tcW w:w="1544" w:type="dxa"/>
            <w:tcBorders>
              <w:top w:val="single" w:color="000000" w:sz="4" w:space="0"/>
              <w:left w:val="single" w:color="000000" w:sz="4" w:space="0"/>
              <w:right w:val="single" w:color="000000" w:sz="4" w:space="0"/>
            </w:tcBorders>
            <w:shd w:val="clear" w:color="auto" w:fill="auto"/>
            <w:vAlign w:val="center"/>
          </w:tcPr>
          <w:p w14:paraId="19EEC1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c>
          <w:tcPr>
            <w:tcW w:w="1525" w:type="dxa"/>
            <w:tcBorders>
              <w:top w:val="single" w:color="000000" w:sz="4" w:space="0"/>
              <w:left w:val="single" w:color="000000" w:sz="4" w:space="0"/>
              <w:right w:val="single" w:color="000000" w:sz="4" w:space="0"/>
            </w:tcBorders>
            <w:shd w:val="clear" w:color="auto" w:fill="auto"/>
            <w:vAlign w:val="center"/>
          </w:tcPr>
          <w:p w14:paraId="69F79F79">
            <w:pPr>
              <w:jc w:val="center"/>
              <w:rPr>
                <w:rFonts w:hint="eastAsia" w:ascii="宋体" w:hAnsi="宋体" w:eastAsia="宋体" w:cs="宋体"/>
                <w:i w:val="0"/>
                <w:color w:val="000000"/>
                <w:sz w:val="18"/>
                <w:szCs w:val="18"/>
                <w:u w:val="none"/>
              </w:rPr>
            </w:pPr>
          </w:p>
        </w:tc>
      </w:tr>
      <w:tr w14:paraId="7FC44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60" w:hRule="atLeast"/>
        </w:trPr>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019AF0F">
            <w:pPr>
              <w:jc w:val="center"/>
              <w:rPr>
                <w:rFonts w:hint="eastAsia" w:ascii="宋体" w:hAnsi="宋体" w:eastAsia="宋体" w:cs="宋体"/>
                <w:i w:val="0"/>
                <w:color w:val="000000"/>
                <w:sz w:val="18"/>
                <w:szCs w:val="18"/>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FDF47">
            <w:pPr>
              <w:jc w:val="center"/>
              <w:rPr>
                <w:rFonts w:hint="eastAsia" w:ascii="宋体" w:hAnsi="宋体" w:eastAsia="宋体" w:cs="宋体"/>
                <w:i w:val="0"/>
                <w:color w:val="000000"/>
                <w:sz w:val="18"/>
                <w:szCs w:val="18"/>
                <w:u w:val="none"/>
              </w:rPr>
            </w:pPr>
          </w:p>
        </w:tc>
        <w:tc>
          <w:tcPr>
            <w:tcW w:w="919" w:type="dxa"/>
            <w:tcBorders>
              <w:top w:val="single" w:color="000000" w:sz="4" w:space="0"/>
              <w:left w:val="single" w:color="000000" w:sz="4" w:space="0"/>
              <w:right w:val="single" w:color="000000" w:sz="4" w:space="0"/>
            </w:tcBorders>
            <w:shd w:val="clear" w:color="auto" w:fill="auto"/>
            <w:vAlign w:val="center"/>
          </w:tcPr>
          <w:p w14:paraId="168B26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1500" w:type="dxa"/>
            <w:tcBorders>
              <w:top w:val="single" w:color="000000" w:sz="4" w:space="0"/>
              <w:left w:val="single" w:color="000000" w:sz="4" w:space="0"/>
              <w:right w:val="single" w:color="000000" w:sz="4" w:space="0"/>
            </w:tcBorders>
            <w:shd w:val="clear" w:color="auto" w:fill="auto"/>
            <w:vAlign w:val="center"/>
          </w:tcPr>
          <w:p w14:paraId="0F8F39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避免医疗纠纷矛盾的激化，提供化解医疗纠纷、法律宣传、维护社会和谐稳定的平台。</w:t>
            </w:r>
          </w:p>
        </w:tc>
        <w:tc>
          <w:tcPr>
            <w:tcW w:w="1306" w:type="dxa"/>
            <w:tcBorders>
              <w:top w:val="single" w:color="000000" w:sz="4" w:space="0"/>
              <w:left w:val="single" w:color="000000" w:sz="4" w:space="0"/>
              <w:right w:val="single" w:color="000000" w:sz="4" w:space="0"/>
            </w:tcBorders>
            <w:shd w:val="clear" w:color="auto" w:fill="auto"/>
            <w:vAlign w:val="center"/>
          </w:tcPr>
          <w:p w14:paraId="5E7DD92F">
            <w:pPr>
              <w:jc w:val="center"/>
              <w:rPr>
                <w:rFonts w:hint="eastAsia" w:ascii="宋体" w:hAnsi="宋体" w:eastAsia="宋体" w:cs="宋体"/>
                <w:i w:val="0"/>
                <w:color w:val="000000"/>
                <w:sz w:val="18"/>
                <w:szCs w:val="18"/>
                <w:u w:val="none"/>
              </w:rPr>
            </w:pPr>
          </w:p>
        </w:tc>
        <w:tc>
          <w:tcPr>
            <w:tcW w:w="1544" w:type="dxa"/>
            <w:tcBorders>
              <w:top w:val="single" w:color="000000" w:sz="4" w:space="0"/>
              <w:left w:val="single" w:color="000000" w:sz="4" w:space="0"/>
              <w:right w:val="single" w:color="000000" w:sz="4" w:space="0"/>
            </w:tcBorders>
            <w:shd w:val="clear" w:color="auto" w:fill="auto"/>
            <w:vAlign w:val="center"/>
          </w:tcPr>
          <w:p w14:paraId="5D7B0F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8D4B">
            <w:pPr>
              <w:jc w:val="center"/>
              <w:rPr>
                <w:rFonts w:hint="eastAsia" w:ascii="宋体" w:hAnsi="宋体" w:eastAsia="宋体" w:cs="宋体"/>
                <w:i w:val="0"/>
                <w:color w:val="000000"/>
                <w:sz w:val="18"/>
                <w:szCs w:val="18"/>
                <w:u w:val="none"/>
              </w:rPr>
            </w:pPr>
          </w:p>
        </w:tc>
      </w:tr>
      <w:tr w14:paraId="43CEA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1" w:hRule="atLeast"/>
        </w:trPr>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A3C19D6">
            <w:pPr>
              <w:jc w:val="center"/>
              <w:rPr>
                <w:rFonts w:hint="eastAsia" w:ascii="宋体" w:hAnsi="宋体" w:eastAsia="宋体" w:cs="宋体"/>
                <w:i w:val="0"/>
                <w:color w:val="000000"/>
                <w:sz w:val="18"/>
                <w:szCs w:val="18"/>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6EE5B">
            <w:pPr>
              <w:jc w:val="center"/>
              <w:rPr>
                <w:rFonts w:hint="eastAsia" w:ascii="宋体" w:hAnsi="宋体" w:eastAsia="宋体" w:cs="宋体"/>
                <w:i w:val="0"/>
                <w:color w:val="000000"/>
                <w:sz w:val="18"/>
                <w:szCs w:val="18"/>
                <w:u w:val="none"/>
              </w:rPr>
            </w:pPr>
          </w:p>
        </w:tc>
        <w:tc>
          <w:tcPr>
            <w:tcW w:w="919" w:type="dxa"/>
            <w:tcBorders>
              <w:top w:val="single" w:color="000000" w:sz="4" w:space="0"/>
              <w:left w:val="single" w:color="000000" w:sz="4" w:space="0"/>
              <w:right w:val="single" w:color="000000" w:sz="4" w:space="0"/>
            </w:tcBorders>
            <w:shd w:val="clear" w:color="auto" w:fill="auto"/>
            <w:vAlign w:val="center"/>
          </w:tcPr>
          <w:p w14:paraId="21ADAD1A">
            <w:pPr>
              <w:jc w:val="center"/>
              <w:rPr>
                <w:rFonts w:hint="eastAsia" w:ascii="宋体" w:hAnsi="宋体" w:eastAsia="宋体" w:cs="宋体"/>
                <w:i w:val="0"/>
                <w:color w:val="000000"/>
                <w:sz w:val="18"/>
                <w:szCs w:val="18"/>
                <w:u w:val="none"/>
              </w:rPr>
            </w:pPr>
          </w:p>
        </w:tc>
        <w:tc>
          <w:tcPr>
            <w:tcW w:w="1500" w:type="dxa"/>
            <w:tcBorders>
              <w:top w:val="single" w:color="000000" w:sz="4" w:space="0"/>
              <w:left w:val="single" w:color="000000" w:sz="4" w:space="0"/>
              <w:right w:val="single" w:color="000000" w:sz="4" w:space="0"/>
            </w:tcBorders>
            <w:shd w:val="clear" w:color="auto" w:fill="auto"/>
            <w:vAlign w:val="center"/>
          </w:tcPr>
          <w:p w14:paraId="52128C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即有效维护了患者的权益，又帮助医疗机构化解纠纷</w:t>
            </w:r>
          </w:p>
        </w:tc>
        <w:tc>
          <w:tcPr>
            <w:tcW w:w="1306" w:type="dxa"/>
            <w:tcBorders>
              <w:top w:val="single" w:color="000000" w:sz="4" w:space="0"/>
              <w:left w:val="single" w:color="000000" w:sz="4" w:space="0"/>
              <w:right w:val="single" w:color="000000" w:sz="4" w:space="0"/>
            </w:tcBorders>
            <w:shd w:val="clear" w:color="auto" w:fill="auto"/>
            <w:vAlign w:val="center"/>
          </w:tcPr>
          <w:p w14:paraId="228A58D8">
            <w:pPr>
              <w:jc w:val="center"/>
              <w:rPr>
                <w:rFonts w:hint="eastAsia" w:ascii="宋体" w:hAnsi="宋体" w:eastAsia="宋体" w:cs="宋体"/>
                <w:i w:val="0"/>
                <w:color w:val="000000"/>
                <w:sz w:val="18"/>
                <w:szCs w:val="18"/>
                <w:u w:val="none"/>
              </w:rPr>
            </w:pPr>
          </w:p>
        </w:tc>
        <w:tc>
          <w:tcPr>
            <w:tcW w:w="1544" w:type="dxa"/>
            <w:tcBorders>
              <w:top w:val="single" w:color="000000" w:sz="4" w:space="0"/>
              <w:left w:val="single" w:color="000000" w:sz="4" w:space="0"/>
              <w:right w:val="single" w:color="000000" w:sz="4" w:space="0"/>
            </w:tcBorders>
            <w:shd w:val="clear" w:color="auto" w:fill="auto"/>
            <w:vAlign w:val="center"/>
          </w:tcPr>
          <w:p w14:paraId="2D0A21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良好</w:t>
            </w:r>
          </w:p>
        </w:tc>
        <w:tc>
          <w:tcPr>
            <w:tcW w:w="1525" w:type="dxa"/>
            <w:tcBorders>
              <w:top w:val="single" w:color="000000" w:sz="4" w:space="0"/>
              <w:left w:val="single" w:color="000000" w:sz="4" w:space="0"/>
              <w:right w:val="single" w:color="000000" w:sz="4" w:space="0"/>
            </w:tcBorders>
            <w:shd w:val="clear" w:color="auto" w:fill="auto"/>
            <w:vAlign w:val="center"/>
          </w:tcPr>
          <w:p w14:paraId="5A74EA23">
            <w:pPr>
              <w:jc w:val="center"/>
              <w:rPr>
                <w:rFonts w:hint="eastAsia" w:ascii="宋体" w:hAnsi="宋体" w:eastAsia="宋体" w:cs="宋体"/>
                <w:i w:val="0"/>
                <w:color w:val="000000"/>
                <w:sz w:val="18"/>
                <w:szCs w:val="18"/>
                <w:u w:val="none"/>
              </w:rPr>
            </w:pPr>
          </w:p>
        </w:tc>
      </w:tr>
      <w:tr w14:paraId="0025C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1" w:hRule="atLeast"/>
        </w:trPr>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25CC910">
            <w:pPr>
              <w:jc w:val="center"/>
              <w:rPr>
                <w:rFonts w:hint="eastAsia" w:ascii="宋体" w:hAnsi="宋体" w:eastAsia="宋体" w:cs="宋体"/>
                <w:i w:val="0"/>
                <w:color w:val="000000"/>
                <w:sz w:val="18"/>
                <w:szCs w:val="18"/>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F1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919" w:type="dxa"/>
            <w:tcBorders>
              <w:top w:val="single" w:color="000000" w:sz="4" w:space="0"/>
              <w:left w:val="single" w:color="000000" w:sz="4" w:space="0"/>
              <w:right w:val="single" w:color="000000" w:sz="4" w:space="0"/>
            </w:tcBorders>
            <w:shd w:val="clear" w:color="auto" w:fill="auto"/>
            <w:vAlign w:val="center"/>
          </w:tcPr>
          <w:p w14:paraId="757227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500" w:type="dxa"/>
            <w:tcBorders>
              <w:top w:val="single" w:color="000000" w:sz="4" w:space="0"/>
              <w:left w:val="single" w:color="000000" w:sz="4" w:space="0"/>
              <w:right w:val="single" w:color="000000" w:sz="4" w:space="0"/>
            </w:tcBorders>
            <w:shd w:val="clear" w:color="auto" w:fill="auto"/>
            <w:vAlign w:val="center"/>
          </w:tcPr>
          <w:p w14:paraId="6A3C6F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1306" w:type="dxa"/>
            <w:tcBorders>
              <w:top w:val="single" w:color="000000" w:sz="4" w:space="0"/>
              <w:left w:val="single" w:color="000000" w:sz="4" w:space="0"/>
              <w:right w:val="single" w:color="000000" w:sz="4" w:space="0"/>
            </w:tcBorders>
            <w:shd w:val="clear" w:color="auto" w:fill="auto"/>
            <w:vAlign w:val="center"/>
          </w:tcPr>
          <w:p w14:paraId="6526573D">
            <w:pPr>
              <w:jc w:val="center"/>
              <w:rPr>
                <w:rFonts w:hint="eastAsia" w:ascii="宋体" w:hAnsi="宋体" w:eastAsia="宋体" w:cs="宋体"/>
                <w:i w:val="0"/>
                <w:color w:val="000000"/>
                <w:sz w:val="18"/>
                <w:szCs w:val="18"/>
                <w:u w:val="none"/>
              </w:rPr>
            </w:pPr>
          </w:p>
        </w:tc>
        <w:tc>
          <w:tcPr>
            <w:tcW w:w="1544" w:type="dxa"/>
            <w:tcBorders>
              <w:top w:val="single" w:color="000000" w:sz="4" w:space="0"/>
              <w:left w:val="single" w:color="000000" w:sz="4" w:space="0"/>
              <w:right w:val="single" w:color="000000" w:sz="4" w:space="0"/>
            </w:tcBorders>
            <w:shd w:val="clear" w:color="auto" w:fill="auto"/>
            <w:vAlign w:val="center"/>
          </w:tcPr>
          <w:p w14:paraId="740297CD">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r>
              <w:rPr>
                <w:rStyle w:val="12"/>
                <w:lang w:val="en-US" w:eastAsia="zh-CN" w:bidi="ar"/>
              </w:rPr>
              <w:t>98%</w:t>
            </w:r>
          </w:p>
        </w:tc>
        <w:tc>
          <w:tcPr>
            <w:tcW w:w="1525" w:type="dxa"/>
            <w:tcBorders>
              <w:top w:val="single" w:color="000000" w:sz="4" w:space="0"/>
              <w:left w:val="single" w:color="000000" w:sz="4" w:space="0"/>
              <w:right w:val="single" w:color="000000" w:sz="4" w:space="0"/>
            </w:tcBorders>
            <w:shd w:val="clear" w:color="auto" w:fill="auto"/>
            <w:vAlign w:val="center"/>
          </w:tcPr>
          <w:p w14:paraId="64B367AB">
            <w:pPr>
              <w:jc w:val="center"/>
              <w:rPr>
                <w:rFonts w:hint="eastAsia" w:ascii="宋体" w:hAnsi="宋体" w:eastAsia="宋体" w:cs="宋体"/>
                <w:i w:val="0"/>
                <w:color w:val="000000"/>
                <w:sz w:val="18"/>
                <w:szCs w:val="18"/>
                <w:u w:val="none"/>
              </w:rPr>
            </w:pPr>
          </w:p>
        </w:tc>
      </w:tr>
      <w:tr w14:paraId="41A4D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4" w:hRule="atLeast"/>
        </w:trPr>
        <w:tc>
          <w:tcPr>
            <w:tcW w:w="37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4780C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财政资金管理科室（盖章）</w:t>
            </w:r>
          </w:p>
          <w:p w14:paraId="0A4D2E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    月     日</w:t>
            </w:r>
          </w:p>
        </w:tc>
        <w:tc>
          <w:tcPr>
            <w:tcW w:w="43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C4A09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财政绩效管理科室（盖章）</w:t>
            </w:r>
          </w:p>
          <w:p w14:paraId="741293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    月     日</w:t>
            </w:r>
          </w:p>
        </w:tc>
      </w:tr>
    </w:tbl>
    <w:p w14:paraId="25D1A1DE">
      <w:pPr>
        <w:pStyle w:val="6"/>
        <w:keepNext w:val="0"/>
        <w:keepLines w:val="0"/>
        <w:pageBreakBefore w:val="0"/>
        <w:widowControl w:val="0"/>
        <w:numPr>
          <w:ilvl w:val="0"/>
          <w:numId w:val="0"/>
        </w:numPr>
        <w:kinsoku/>
        <w:wordWrap/>
        <w:overflowPunct/>
        <w:topLinePunct w:val="0"/>
        <w:autoSpaceDE/>
        <w:autoSpaceDN/>
        <w:bidi w:val="0"/>
        <w:spacing w:line="460" w:lineRule="atLeast"/>
        <w:jc w:val="both"/>
        <w:textAlignment w:val="auto"/>
        <w:rPr>
          <w:rFonts w:hint="eastAsia" w:ascii="仿宋_GB2312" w:eastAsia="仿宋_GB2312"/>
          <w:b/>
          <w:bCs/>
          <w:color w:val="000000"/>
          <w:sz w:val="36"/>
          <w:szCs w:val="36"/>
          <w:highlight w:val="none"/>
          <w:lang w:val="en-US" w:eastAsia="zh-CN"/>
        </w:rPr>
      </w:pPr>
    </w:p>
    <w:p w14:paraId="7620BB10">
      <w:pPr>
        <w:pStyle w:val="6"/>
        <w:keepNext w:val="0"/>
        <w:keepLines w:val="0"/>
        <w:pageBreakBefore w:val="0"/>
        <w:widowControl w:val="0"/>
        <w:numPr>
          <w:ilvl w:val="0"/>
          <w:numId w:val="0"/>
        </w:numPr>
        <w:kinsoku/>
        <w:wordWrap/>
        <w:overflowPunct/>
        <w:topLinePunct w:val="0"/>
        <w:autoSpaceDE/>
        <w:autoSpaceDN/>
        <w:bidi w:val="0"/>
        <w:spacing w:line="460" w:lineRule="atLeast"/>
        <w:jc w:val="both"/>
        <w:textAlignment w:val="auto"/>
        <w:rPr>
          <w:rFonts w:hint="eastAsia" w:ascii="仿宋_GB2312" w:eastAsia="仿宋_GB2312"/>
          <w:b/>
          <w:bCs/>
          <w:color w:val="000000"/>
          <w:sz w:val="36"/>
          <w:szCs w:val="36"/>
          <w:highlight w:val="none"/>
          <w:lang w:val="en-US" w:eastAsia="zh-CN"/>
        </w:rPr>
      </w:pPr>
    </w:p>
    <w:p w14:paraId="6CF63A0E">
      <w:pPr>
        <w:pStyle w:val="6"/>
        <w:keepNext w:val="0"/>
        <w:keepLines w:val="0"/>
        <w:pageBreakBefore w:val="0"/>
        <w:widowControl w:val="0"/>
        <w:numPr>
          <w:ilvl w:val="0"/>
          <w:numId w:val="0"/>
        </w:numPr>
        <w:kinsoku/>
        <w:wordWrap/>
        <w:overflowPunct/>
        <w:topLinePunct w:val="0"/>
        <w:autoSpaceDE/>
        <w:autoSpaceDN/>
        <w:bidi w:val="0"/>
        <w:spacing w:line="460" w:lineRule="atLeast"/>
        <w:jc w:val="both"/>
        <w:textAlignment w:val="auto"/>
        <w:rPr>
          <w:rFonts w:hint="eastAsia" w:ascii="仿宋_GB2312" w:eastAsia="仿宋_GB2312"/>
          <w:b/>
          <w:bCs/>
          <w:color w:val="000000"/>
          <w:sz w:val="36"/>
          <w:szCs w:val="36"/>
          <w:highlight w:val="none"/>
          <w:lang w:val="en-US" w:eastAsia="zh-CN"/>
        </w:rPr>
      </w:pPr>
    </w:p>
    <w:p w14:paraId="39D7DD38">
      <w:pPr>
        <w:pStyle w:val="6"/>
        <w:keepNext w:val="0"/>
        <w:keepLines w:val="0"/>
        <w:pageBreakBefore w:val="0"/>
        <w:widowControl w:val="0"/>
        <w:numPr>
          <w:ilvl w:val="0"/>
          <w:numId w:val="0"/>
        </w:numPr>
        <w:kinsoku/>
        <w:wordWrap/>
        <w:overflowPunct/>
        <w:topLinePunct w:val="0"/>
        <w:autoSpaceDE/>
        <w:autoSpaceDN/>
        <w:bidi w:val="0"/>
        <w:spacing w:line="460" w:lineRule="atLeast"/>
        <w:jc w:val="both"/>
        <w:textAlignment w:val="auto"/>
        <w:rPr>
          <w:rFonts w:hint="eastAsia" w:ascii="仿宋_GB2312" w:eastAsia="仿宋_GB2312"/>
          <w:b/>
          <w:bCs/>
          <w:color w:val="000000"/>
          <w:sz w:val="36"/>
          <w:szCs w:val="36"/>
          <w:highlight w:val="none"/>
          <w:lang w:val="en-US" w:eastAsia="zh-CN"/>
        </w:rPr>
      </w:pPr>
    </w:p>
    <w:tbl>
      <w:tblPr>
        <w:tblStyle w:val="3"/>
        <w:tblW w:w="84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61"/>
        <w:gridCol w:w="1058"/>
        <w:gridCol w:w="960"/>
        <w:gridCol w:w="1562"/>
        <w:gridCol w:w="1359"/>
        <w:gridCol w:w="1607"/>
        <w:gridCol w:w="1587"/>
      </w:tblGrid>
      <w:tr w14:paraId="601FB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8494" w:type="dxa"/>
            <w:gridSpan w:val="7"/>
            <w:shd w:val="clear" w:color="auto" w:fill="auto"/>
            <w:vAlign w:val="center"/>
          </w:tcPr>
          <w:p w14:paraId="7B0B1987">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项目支出绩效目标批复表</w:t>
            </w:r>
          </w:p>
        </w:tc>
      </w:tr>
      <w:tr w14:paraId="47C8F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8494" w:type="dxa"/>
            <w:gridSpan w:val="7"/>
            <w:shd w:val="clear" w:color="auto" w:fill="auto"/>
            <w:vAlign w:val="center"/>
          </w:tcPr>
          <w:p w14:paraId="77B182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14:paraId="7B38B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8494" w:type="dxa"/>
            <w:gridSpan w:val="7"/>
            <w:tcBorders>
              <w:bottom w:val="single" w:color="000000" w:sz="4" w:space="0"/>
            </w:tcBorders>
            <w:shd w:val="clear" w:color="auto" w:fill="auto"/>
            <w:vAlign w:val="center"/>
          </w:tcPr>
          <w:p w14:paraId="42E0D12E">
            <w:pPr>
              <w:jc w:val="left"/>
              <w:rPr>
                <w:rFonts w:hint="eastAsia" w:ascii="宋体" w:hAnsi="宋体" w:eastAsia="宋体" w:cs="宋体"/>
                <w:i w:val="0"/>
                <w:color w:val="000000"/>
                <w:sz w:val="22"/>
                <w:szCs w:val="22"/>
                <w:u w:val="none"/>
              </w:rPr>
            </w:pPr>
          </w:p>
        </w:tc>
      </w:tr>
      <w:tr w14:paraId="0A6E6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6BC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D037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卫生健康管理服务经费</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D4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项目负责人</w:t>
            </w:r>
          </w:p>
        </w:tc>
        <w:tc>
          <w:tcPr>
            <w:tcW w:w="3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7DFA80">
            <w:pPr>
              <w:jc w:val="center"/>
              <w:rPr>
                <w:rFonts w:hint="eastAsia" w:ascii="宋体" w:hAnsi="宋体" w:eastAsia="宋体" w:cs="宋体"/>
                <w:i w:val="0"/>
                <w:color w:val="000000"/>
                <w:sz w:val="18"/>
                <w:szCs w:val="18"/>
                <w:u w:val="none"/>
              </w:rPr>
            </w:pPr>
          </w:p>
        </w:tc>
      </w:tr>
      <w:tr w14:paraId="55386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D44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项目金额</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9DD3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5F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其中：当年市级财政资金</w:t>
            </w:r>
          </w:p>
        </w:tc>
        <w:tc>
          <w:tcPr>
            <w:tcW w:w="31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1625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430万</w:t>
            </w:r>
          </w:p>
        </w:tc>
      </w:tr>
      <w:tr w14:paraId="41BE1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626B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项目主管部门</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A5A0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黄石市卫生健康委员会</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CB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1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CC52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黄石市卫生健康委员会</w:t>
            </w:r>
          </w:p>
        </w:tc>
      </w:tr>
      <w:tr w14:paraId="58E86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E16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项目属性</w:t>
            </w:r>
          </w:p>
        </w:tc>
        <w:tc>
          <w:tcPr>
            <w:tcW w:w="25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A09D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持续性项目■    新增性项目口</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57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项目期</w:t>
            </w:r>
          </w:p>
        </w:tc>
        <w:tc>
          <w:tcPr>
            <w:tcW w:w="3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AC9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w:t>
            </w:r>
          </w:p>
        </w:tc>
      </w:tr>
      <w:tr w14:paraId="3B74A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4" w:hRule="atLeast"/>
        </w:trPr>
        <w:tc>
          <w:tcPr>
            <w:tcW w:w="1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297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年度绩效目标    （文字）</w:t>
            </w:r>
          </w:p>
        </w:tc>
        <w:tc>
          <w:tcPr>
            <w:tcW w:w="70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84807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深入推进计生转型发展，重点保障计生两扶、监督执法、住院护理险、计生助你行等工作；为身份不明或无力支付费用的急危重伤病患者得到及时救助、有效的救助。保障职称评审等工作正常开展。</w:t>
            </w:r>
          </w:p>
        </w:tc>
      </w:tr>
      <w:tr w14:paraId="79432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361"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7586C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94D3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BA1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5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FFDF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2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34D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4D31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指标标准或依据</w:t>
            </w:r>
          </w:p>
        </w:tc>
      </w:tr>
      <w:tr w14:paraId="17084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DC013F6">
            <w:pPr>
              <w:jc w:val="center"/>
              <w:rPr>
                <w:rFonts w:hint="eastAsia" w:ascii="宋体" w:hAnsi="宋体" w:eastAsia="宋体" w:cs="宋体"/>
                <w:i w:val="0"/>
                <w:color w:val="000000"/>
                <w:sz w:val="18"/>
                <w:szCs w:val="18"/>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7C265">
            <w:pPr>
              <w:jc w:val="center"/>
              <w:rPr>
                <w:rFonts w:hint="eastAsia" w:ascii="宋体" w:hAnsi="宋体" w:eastAsia="宋体" w:cs="宋体"/>
                <w:i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50AE1">
            <w:pPr>
              <w:jc w:val="center"/>
              <w:rPr>
                <w:rFonts w:hint="eastAsia" w:ascii="宋体" w:hAnsi="宋体" w:eastAsia="宋体" w:cs="宋体"/>
                <w:i w:val="0"/>
                <w:color w:val="000000"/>
                <w:sz w:val="18"/>
                <w:szCs w:val="18"/>
                <w:u w:val="none"/>
              </w:rPr>
            </w:pPr>
          </w:p>
        </w:tc>
        <w:tc>
          <w:tcPr>
            <w:tcW w:w="15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F8FB2">
            <w:pPr>
              <w:jc w:val="center"/>
              <w:rPr>
                <w:rFonts w:hint="eastAsia" w:ascii="宋体" w:hAnsi="宋体" w:eastAsia="宋体" w:cs="宋体"/>
                <w:i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35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2022年实际实现值</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8F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预期2023年实现值</w:t>
            </w: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9390A">
            <w:pPr>
              <w:jc w:val="center"/>
              <w:rPr>
                <w:rFonts w:hint="eastAsia" w:ascii="宋体" w:hAnsi="宋体" w:eastAsia="宋体" w:cs="宋体"/>
                <w:i w:val="0"/>
                <w:color w:val="000000"/>
                <w:sz w:val="18"/>
                <w:szCs w:val="18"/>
                <w:u w:val="none"/>
              </w:rPr>
            </w:pPr>
          </w:p>
        </w:tc>
      </w:tr>
      <w:tr w14:paraId="76532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EA2B242">
            <w:pPr>
              <w:jc w:val="center"/>
              <w:rPr>
                <w:rFonts w:hint="eastAsia" w:ascii="宋体" w:hAnsi="宋体" w:eastAsia="宋体" w:cs="宋体"/>
                <w:i w:val="0"/>
                <w:color w:val="000000"/>
                <w:sz w:val="18"/>
                <w:szCs w:val="18"/>
                <w:u w:val="none"/>
              </w:rPr>
            </w:pPr>
          </w:p>
        </w:tc>
        <w:tc>
          <w:tcPr>
            <w:tcW w:w="1058" w:type="dxa"/>
            <w:vMerge w:val="restart"/>
            <w:tcBorders>
              <w:top w:val="single" w:color="000000" w:sz="4" w:space="0"/>
              <w:left w:val="single" w:color="000000" w:sz="4" w:space="0"/>
              <w:right w:val="single" w:color="000000" w:sz="4" w:space="0"/>
            </w:tcBorders>
            <w:shd w:val="clear" w:color="auto" w:fill="auto"/>
            <w:vAlign w:val="center"/>
          </w:tcPr>
          <w:p w14:paraId="579037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960" w:type="dxa"/>
            <w:vMerge w:val="restart"/>
            <w:tcBorders>
              <w:top w:val="single" w:color="000000" w:sz="4" w:space="0"/>
              <w:left w:val="single" w:color="000000" w:sz="4" w:space="0"/>
              <w:right w:val="single" w:color="000000" w:sz="4" w:space="0"/>
            </w:tcBorders>
            <w:shd w:val="clear" w:color="auto" w:fill="auto"/>
            <w:vAlign w:val="center"/>
          </w:tcPr>
          <w:p w14:paraId="40E017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562" w:type="dxa"/>
            <w:tcBorders>
              <w:top w:val="single" w:color="000000" w:sz="4" w:space="0"/>
              <w:left w:val="single" w:color="000000" w:sz="4" w:space="0"/>
              <w:right w:val="single" w:color="000000" w:sz="4" w:space="0"/>
            </w:tcBorders>
            <w:shd w:val="clear" w:color="auto" w:fill="auto"/>
            <w:vAlign w:val="center"/>
          </w:tcPr>
          <w:p w14:paraId="449404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职称评审、重点学科建设等</w:t>
            </w:r>
          </w:p>
        </w:tc>
        <w:tc>
          <w:tcPr>
            <w:tcW w:w="1359" w:type="dxa"/>
            <w:tcBorders>
              <w:top w:val="single" w:color="000000" w:sz="4" w:space="0"/>
              <w:left w:val="single" w:color="000000" w:sz="4" w:space="0"/>
              <w:right w:val="single" w:color="000000" w:sz="4" w:space="0"/>
            </w:tcBorders>
            <w:shd w:val="clear" w:color="auto" w:fill="auto"/>
            <w:vAlign w:val="center"/>
          </w:tcPr>
          <w:p w14:paraId="1DD2F44F">
            <w:pPr>
              <w:jc w:val="center"/>
              <w:rPr>
                <w:rFonts w:hint="eastAsia" w:ascii="宋体" w:hAnsi="宋体" w:eastAsia="宋体" w:cs="宋体"/>
                <w:i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D9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不少于1次</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0A97">
            <w:pPr>
              <w:jc w:val="center"/>
              <w:rPr>
                <w:rFonts w:hint="eastAsia" w:ascii="宋体" w:hAnsi="宋体" w:eastAsia="宋体" w:cs="宋体"/>
                <w:i w:val="0"/>
                <w:color w:val="000000"/>
                <w:sz w:val="18"/>
                <w:szCs w:val="18"/>
                <w:u w:val="none"/>
              </w:rPr>
            </w:pPr>
          </w:p>
        </w:tc>
      </w:tr>
      <w:tr w14:paraId="4DEDD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F9CF59F">
            <w:pPr>
              <w:jc w:val="center"/>
              <w:rPr>
                <w:rFonts w:hint="eastAsia" w:ascii="宋体" w:hAnsi="宋体" w:eastAsia="宋体" w:cs="宋体"/>
                <w:i w:val="0"/>
                <w:color w:val="000000"/>
                <w:sz w:val="18"/>
                <w:szCs w:val="18"/>
                <w:u w:val="none"/>
              </w:rPr>
            </w:pPr>
          </w:p>
        </w:tc>
        <w:tc>
          <w:tcPr>
            <w:tcW w:w="1058" w:type="dxa"/>
            <w:vMerge w:val="continue"/>
            <w:tcBorders>
              <w:top w:val="single" w:color="000000" w:sz="4" w:space="0"/>
              <w:left w:val="single" w:color="000000" w:sz="4" w:space="0"/>
              <w:right w:val="single" w:color="000000" w:sz="4" w:space="0"/>
            </w:tcBorders>
            <w:shd w:val="clear" w:color="auto" w:fill="auto"/>
            <w:vAlign w:val="center"/>
          </w:tcPr>
          <w:p w14:paraId="2E379994">
            <w:pPr>
              <w:jc w:val="center"/>
              <w:rPr>
                <w:rFonts w:hint="eastAsia" w:ascii="宋体" w:hAnsi="宋体" w:eastAsia="宋体" w:cs="宋体"/>
                <w:i w:val="0"/>
                <w:color w:val="000000"/>
                <w:sz w:val="18"/>
                <w:szCs w:val="18"/>
                <w:u w:val="none"/>
              </w:rPr>
            </w:pPr>
          </w:p>
        </w:tc>
        <w:tc>
          <w:tcPr>
            <w:tcW w:w="960" w:type="dxa"/>
            <w:vMerge w:val="continue"/>
            <w:tcBorders>
              <w:top w:val="single" w:color="000000" w:sz="4" w:space="0"/>
              <w:left w:val="single" w:color="000000" w:sz="4" w:space="0"/>
              <w:right w:val="single" w:color="000000" w:sz="4" w:space="0"/>
            </w:tcBorders>
            <w:shd w:val="clear" w:color="auto" w:fill="auto"/>
            <w:vAlign w:val="center"/>
          </w:tcPr>
          <w:p w14:paraId="64EB2778">
            <w:pPr>
              <w:jc w:val="center"/>
              <w:rPr>
                <w:rFonts w:hint="eastAsia" w:ascii="宋体" w:hAnsi="宋体" w:eastAsia="宋体" w:cs="宋体"/>
                <w:i w:val="0"/>
                <w:color w:val="000000"/>
                <w:sz w:val="18"/>
                <w:szCs w:val="18"/>
                <w:u w:val="none"/>
              </w:rPr>
            </w:pPr>
          </w:p>
        </w:tc>
        <w:tc>
          <w:tcPr>
            <w:tcW w:w="1562" w:type="dxa"/>
            <w:tcBorders>
              <w:top w:val="single" w:color="000000" w:sz="4" w:space="0"/>
              <w:left w:val="single" w:color="000000" w:sz="4" w:space="0"/>
              <w:right w:val="single" w:color="000000" w:sz="4" w:space="0"/>
            </w:tcBorders>
            <w:shd w:val="clear" w:color="auto" w:fill="auto"/>
            <w:vAlign w:val="center"/>
          </w:tcPr>
          <w:p w14:paraId="0E30A6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两扶人员</w:t>
            </w:r>
          </w:p>
        </w:tc>
        <w:tc>
          <w:tcPr>
            <w:tcW w:w="1359" w:type="dxa"/>
            <w:tcBorders>
              <w:top w:val="single" w:color="000000" w:sz="4" w:space="0"/>
              <w:left w:val="single" w:color="000000" w:sz="4" w:space="0"/>
              <w:right w:val="single" w:color="000000" w:sz="4" w:space="0"/>
            </w:tcBorders>
            <w:shd w:val="clear" w:color="auto" w:fill="auto"/>
            <w:vAlign w:val="center"/>
          </w:tcPr>
          <w:p w14:paraId="6B1E1B44">
            <w:pPr>
              <w:jc w:val="center"/>
              <w:rPr>
                <w:rFonts w:hint="eastAsia" w:ascii="宋体" w:hAnsi="宋体" w:eastAsia="宋体" w:cs="宋体"/>
                <w:i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6C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1764人</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901D">
            <w:pPr>
              <w:jc w:val="center"/>
              <w:rPr>
                <w:rFonts w:hint="eastAsia" w:ascii="宋体" w:hAnsi="宋体" w:eastAsia="宋体" w:cs="宋体"/>
                <w:i w:val="0"/>
                <w:color w:val="000000"/>
                <w:sz w:val="18"/>
                <w:szCs w:val="18"/>
                <w:u w:val="none"/>
              </w:rPr>
            </w:pPr>
          </w:p>
        </w:tc>
      </w:tr>
      <w:tr w14:paraId="1B0C4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5F5D222">
            <w:pPr>
              <w:jc w:val="center"/>
              <w:rPr>
                <w:rFonts w:hint="eastAsia" w:ascii="宋体" w:hAnsi="宋体" w:eastAsia="宋体" w:cs="宋体"/>
                <w:i w:val="0"/>
                <w:color w:val="000000"/>
                <w:sz w:val="18"/>
                <w:szCs w:val="18"/>
                <w:u w:val="none"/>
              </w:rPr>
            </w:pPr>
          </w:p>
        </w:tc>
        <w:tc>
          <w:tcPr>
            <w:tcW w:w="1058" w:type="dxa"/>
            <w:vMerge w:val="continue"/>
            <w:tcBorders>
              <w:top w:val="single" w:color="000000" w:sz="4" w:space="0"/>
              <w:left w:val="single" w:color="000000" w:sz="4" w:space="0"/>
              <w:right w:val="single" w:color="000000" w:sz="4" w:space="0"/>
            </w:tcBorders>
            <w:shd w:val="clear" w:color="auto" w:fill="auto"/>
            <w:vAlign w:val="center"/>
          </w:tcPr>
          <w:p w14:paraId="28981C27">
            <w:pPr>
              <w:jc w:val="center"/>
              <w:rPr>
                <w:rFonts w:hint="eastAsia" w:ascii="宋体" w:hAnsi="宋体" w:eastAsia="宋体" w:cs="宋体"/>
                <w:i w:val="0"/>
                <w:color w:val="000000"/>
                <w:sz w:val="18"/>
                <w:szCs w:val="18"/>
                <w:u w:val="none"/>
              </w:rPr>
            </w:pPr>
          </w:p>
        </w:tc>
        <w:tc>
          <w:tcPr>
            <w:tcW w:w="960" w:type="dxa"/>
            <w:vMerge w:val="continue"/>
            <w:tcBorders>
              <w:top w:val="single" w:color="000000" w:sz="4" w:space="0"/>
              <w:left w:val="single" w:color="000000" w:sz="4" w:space="0"/>
              <w:right w:val="single" w:color="000000" w:sz="4" w:space="0"/>
            </w:tcBorders>
            <w:shd w:val="clear" w:color="auto" w:fill="auto"/>
            <w:vAlign w:val="center"/>
          </w:tcPr>
          <w:p w14:paraId="33338ED3">
            <w:pPr>
              <w:jc w:val="center"/>
              <w:rPr>
                <w:rFonts w:hint="eastAsia" w:ascii="宋体" w:hAnsi="宋体" w:eastAsia="宋体" w:cs="宋体"/>
                <w:i w:val="0"/>
                <w:color w:val="000000"/>
                <w:sz w:val="18"/>
                <w:szCs w:val="18"/>
                <w:u w:val="none"/>
              </w:rPr>
            </w:pPr>
          </w:p>
        </w:tc>
        <w:tc>
          <w:tcPr>
            <w:tcW w:w="1562" w:type="dxa"/>
            <w:tcBorders>
              <w:top w:val="single" w:color="000000" w:sz="4" w:space="0"/>
              <w:left w:val="single" w:color="000000" w:sz="4" w:space="0"/>
              <w:right w:val="single" w:color="000000" w:sz="4" w:space="0"/>
            </w:tcBorders>
            <w:shd w:val="clear" w:color="auto" w:fill="auto"/>
            <w:vAlign w:val="center"/>
          </w:tcPr>
          <w:p w14:paraId="3588C6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独生子女死亡家庭一次性抚慰金人数</w:t>
            </w:r>
          </w:p>
        </w:tc>
        <w:tc>
          <w:tcPr>
            <w:tcW w:w="1359" w:type="dxa"/>
            <w:tcBorders>
              <w:top w:val="single" w:color="000000" w:sz="4" w:space="0"/>
              <w:left w:val="single" w:color="000000" w:sz="4" w:space="0"/>
              <w:right w:val="single" w:color="000000" w:sz="4" w:space="0"/>
            </w:tcBorders>
            <w:shd w:val="clear" w:color="auto" w:fill="auto"/>
            <w:vAlign w:val="center"/>
          </w:tcPr>
          <w:p w14:paraId="2F0FF7A0">
            <w:pPr>
              <w:jc w:val="center"/>
              <w:rPr>
                <w:rFonts w:hint="eastAsia" w:ascii="宋体" w:hAnsi="宋体" w:eastAsia="宋体" w:cs="宋体"/>
                <w:i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1B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110人</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C90B5">
            <w:pPr>
              <w:jc w:val="center"/>
              <w:rPr>
                <w:rFonts w:hint="eastAsia" w:ascii="宋体" w:hAnsi="宋体" w:eastAsia="宋体" w:cs="宋体"/>
                <w:i w:val="0"/>
                <w:color w:val="000000"/>
                <w:sz w:val="18"/>
                <w:szCs w:val="18"/>
                <w:u w:val="none"/>
              </w:rPr>
            </w:pPr>
          </w:p>
        </w:tc>
      </w:tr>
      <w:tr w14:paraId="1561E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25748BD">
            <w:pPr>
              <w:jc w:val="center"/>
              <w:rPr>
                <w:rFonts w:hint="eastAsia" w:ascii="宋体" w:hAnsi="宋体" w:eastAsia="宋体" w:cs="宋体"/>
                <w:i w:val="0"/>
                <w:color w:val="000000"/>
                <w:sz w:val="18"/>
                <w:szCs w:val="18"/>
                <w:u w:val="none"/>
              </w:rPr>
            </w:pPr>
          </w:p>
        </w:tc>
        <w:tc>
          <w:tcPr>
            <w:tcW w:w="1058" w:type="dxa"/>
            <w:vMerge w:val="continue"/>
            <w:tcBorders>
              <w:top w:val="single" w:color="000000" w:sz="4" w:space="0"/>
              <w:left w:val="single" w:color="000000" w:sz="4" w:space="0"/>
              <w:right w:val="single" w:color="000000" w:sz="4" w:space="0"/>
            </w:tcBorders>
            <w:shd w:val="clear" w:color="auto" w:fill="auto"/>
            <w:vAlign w:val="center"/>
          </w:tcPr>
          <w:p w14:paraId="6F047273">
            <w:pPr>
              <w:jc w:val="center"/>
              <w:rPr>
                <w:rFonts w:hint="eastAsia" w:ascii="宋体" w:hAnsi="宋体" w:eastAsia="宋体" w:cs="宋体"/>
                <w:i w:val="0"/>
                <w:color w:val="000000"/>
                <w:sz w:val="18"/>
                <w:szCs w:val="18"/>
                <w:u w:val="none"/>
              </w:rPr>
            </w:pPr>
          </w:p>
        </w:tc>
        <w:tc>
          <w:tcPr>
            <w:tcW w:w="960" w:type="dxa"/>
            <w:vMerge w:val="continue"/>
            <w:tcBorders>
              <w:top w:val="single" w:color="000000" w:sz="4" w:space="0"/>
              <w:left w:val="single" w:color="000000" w:sz="4" w:space="0"/>
              <w:right w:val="single" w:color="000000" w:sz="4" w:space="0"/>
            </w:tcBorders>
            <w:shd w:val="clear" w:color="auto" w:fill="auto"/>
            <w:vAlign w:val="center"/>
          </w:tcPr>
          <w:p w14:paraId="198DC8A4">
            <w:pPr>
              <w:jc w:val="center"/>
              <w:rPr>
                <w:rFonts w:hint="eastAsia" w:ascii="宋体" w:hAnsi="宋体" w:eastAsia="宋体" w:cs="宋体"/>
                <w:i w:val="0"/>
                <w:color w:val="000000"/>
                <w:sz w:val="18"/>
                <w:szCs w:val="18"/>
                <w:u w:val="none"/>
              </w:rPr>
            </w:pPr>
          </w:p>
        </w:tc>
        <w:tc>
          <w:tcPr>
            <w:tcW w:w="1562" w:type="dxa"/>
            <w:tcBorders>
              <w:top w:val="single" w:color="000000" w:sz="4" w:space="0"/>
              <w:left w:val="single" w:color="000000" w:sz="4" w:space="0"/>
              <w:right w:val="single" w:color="000000" w:sz="4" w:space="0"/>
            </w:tcBorders>
            <w:shd w:val="clear" w:color="auto" w:fill="auto"/>
            <w:vAlign w:val="center"/>
          </w:tcPr>
          <w:p w14:paraId="583D6C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农村计划生育家庭奖励扶助人数</w:t>
            </w:r>
          </w:p>
        </w:tc>
        <w:tc>
          <w:tcPr>
            <w:tcW w:w="1359" w:type="dxa"/>
            <w:tcBorders>
              <w:top w:val="single" w:color="000000" w:sz="4" w:space="0"/>
              <w:left w:val="single" w:color="000000" w:sz="4" w:space="0"/>
              <w:right w:val="single" w:color="000000" w:sz="4" w:space="0"/>
            </w:tcBorders>
            <w:shd w:val="clear" w:color="auto" w:fill="auto"/>
            <w:vAlign w:val="center"/>
          </w:tcPr>
          <w:p w14:paraId="13E99E94">
            <w:pPr>
              <w:jc w:val="center"/>
              <w:rPr>
                <w:rFonts w:hint="eastAsia" w:ascii="宋体" w:hAnsi="宋体" w:eastAsia="宋体" w:cs="宋体"/>
                <w:i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DB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520人</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4FCC">
            <w:pPr>
              <w:jc w:val="center"/>
              <w:rPr>
                <w:rFonts w:hint="eastAsia" w:ascii="宋体" w:hAnsi="宋体" w:eastAsia="宋体" w:cs="宋体"/>
                <w:i w:val="0"/>
                <w:color w:val="000000"/>
                <w:sz w:val="18"/>
                <w:szCs w:val="18"/>
                <w:u w:val="none"/>
              </w:rPr>
            </w:pPr>
          </w:p>
        </w:tc>
      </w:tr>
      <w:tr w14:paraId="46ADE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763453C">
            <w:pPr>
              <w:jc w:val="center"/>
              <w:rPr>
                <w:rFonts w:hint="eastAsia" w:ascii="宋体" w:hAnsi="宋体" w:eastAsia="宋体" w:cs="宋体"/>
                <w:i w:val="0"/>
                <w:color w:val="000000"/>
                <w:sz w:val="18"/>
                <w:szCs w:val="18"/>
                <w:u w:val="none"/>
              </w:rPr>
            </w:pPr>
          </w:p>
        </w:tc>
        <w:tc>
          <w:tcPr>
            <w:tcW w:w="1058" w:type="dxa"/>
            <w:vMerge w:val="continue"/>
            <w:tcBorders>
              <w:top w:val="single" w:color="000000" w:sz="4" w:space="0"/>
              <w:left w:val="single" w:color="000000" w:sz="4" w:space="0"/>
              <w:right w:val="single" w:color="000000" w:sz="4" w:space="0"/>
            </w:tcBorders>
            <w:shd w:val="clear" w:color="auto" w:fill="auto"/>
            <w:vAlign w:val="center"/>
          </w:tcPr>
          <w:p w14:paraId="5848C5EF">
            <w:pPr>
              <w:jc w:val="center"/>
              <w:rPr>
                <w:rFonts w:hint="eastAsia" w:ascii="宋体" w:hAnsi="宋体" w:eastAsia="宋体" w:cs="宋体"/>
                <w:i w:val="0"/>
                <w:color w:val="000000"/>
                <w:sz w:val="18"/>
                <w:szCs w:val="18"/>
                <w:u w:val="none"/>
              </w:rPr>
            </w:pPr>
          </w:p>
        </w:tc>
        <w:tc>
          <w:tcPr>
            <w:tcW w:w="960" w:type="dxa"/>
            <w:vMerge w:val="continue"/>
            <w:tcBorders>
              <w:top w:val="single" w:color="000000" w:sz="4" w:space="0"/>
              <w:left w:val="single" w:color="000000" w:sz="4" w:space="0"/>
              <w:right w:val="single" w:color="000000" w:sz="4" w:space="0"/>
            </w:tcBorders>
            <w:shd w:val="clear" w:color="auto" w:fill="auto"/>
            <w:vAlign w:val="center"/>
          </w:tcPr>
          <w:p w14:paraId="76CDC386">
            <w:pPr>
              <w:jc w:val="center"/>
              <w:rPr>
                <w:rFonts w:hint="eastAsia" w:ascii="宋体" w:hAnsi="宋体" w:eastAsia="宋体" w:cs="宋体"/>
                <w:i w:val="0"/>
                <w:color w:val="000000"/>
                <w:sz w:val="18"/>
                <w:szCs w:val="18"/>
                <w:u w:val="none"/>
              </w:rPr>
            </w:pPr>
          </w:p>
        </w:tc>
        <w:tc>
          <w:tcPr>
            <w:tcW w:w="1562" w:type="dxa"/>
            <w:tcBorders>
              <w:top w:val="single" w:color="000000" w:sz="4" w:space="0"/>
              <w:left w:val="single" w:color="000000" w:sz="4" w:space="0"/>
              <w:right w:val="single" w:color="000000" w:sz="4" w:space="0"/>
            </w:tcBorders>
            <w:shd w:val="clear" w:color="auto" w:fill="auto"/>
            <w:vAlign w:val="center"/>
          </w:tcPr>
          <w:p w14:paraId="38D2A5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生育关怀助你行补助人员</w:t>
            </w:r>
          </w:p>
        </w:tc>
        <w:tc>
          <w:tcPr>
            <w:tcW w:w="1359" w:type="dxa"/>
            <w:tcBorders>
              <w:top w:val="single" w:color="000000" w:sz="4" w:space="0"/>
              <w:left w:val="single" w:color="000000" w:sz="4" w:space="0"/>
              <w:right w:val="single" w:color="000000" w:sz="4" w:space="0"/>
            </w:tcBorders>
            <w:shd w:val="clear" w:color="auto" w:fill="auto"/>
            <w:vAlign w:val="center"/>
          </w:tcPr>
          <w:p w14:paraId="7D2711B4">
            <w:pPr>
              <w:jc w:val="center"/>
              <w:rPr>
                <w:rFonts w:hint="eastAsia" w:ascii="宋体" w:hAnsi="宋体" w:eastAsia="宋体" w:cs="宋体"/>
                <w:i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EA2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600人</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BE51">
            <w:pPr>
              <w:jc w:val="center"/>
              <w:rPr>
                <w:rFonts w:hint="eastAsia" w:ascii="宋体" w:hAnsi="宋体" w:eastAsia="宋体" w:cs="宋体"/>
                <w:i w:val="0"/>
                <w:color w:val="000000"/>
                <w:sz w:val="18"/>
                <w:szCs w:val="18"/>
                <w:u w:val="none"/>
              </w:rPr>
            </w:pPr>
          </w:p>
        </w:tc>
      </w:tr>
      <w:tr w14:paraId="74E00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DDA47C3">
            <w:pPr>
              <w:jc w:val="center"/>
              <w:rPr>
                <w:rFonts w:hint="eastAsia" w:ascii="宋体" w:hAnsi="宋体" w:eastAsia="宋体" w:cs="宋体"/>
                <w:i w:val="0"/>
                <w:color w:val="000000"/>
                <w:sz w:val="18"/>
                <w:szCs w:val="18"/>
                <w:u w:val="none"/>
              </w:rPr>
            </w:pPr>
          </w:p>
        </w:tc>
        <w:tc>
          <w:tcPr>
            <w:tcW w:w="1058" w:type="dxa"/>
            <w:vMerge w:val="continue"/>
            <w:tcBorders>
              <w:top w:val="single" w:color="000000" w:sz="4" w:space="0"/>
              <w:left w:val="single" w:color="000000" w:sz="4" w:space="0"/>
              <w:right w:val="single" w:color="000000" w:sz="4" w:space="0"/>
            </w:tcBorders>
            <w:shd w:val="clear" w:color="auto" w:fill="auto"/>
            <w:vAlign w:val="center"/>
          </w:tcPr>
          <w:p w14:paraId="2DD8E67A">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right w:val="single" w:color="000000" w:sz="4" w:space="0"/>
            </w:tcBorders>
            <w:shd w:val="clear" w:color="auto" w:fill="auto"/>
            <w:vAlign w:val="center"/>
          </w:tcPr>
          <w:p w14:paraId="763FD3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A4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补助资金发放标准执行合规率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6FFC">
            <w:pPr>
              <w:jc w:val="center"/>
              <w:rPr>
                <w:rFonts w:hint="eastAsia" w:ascii="宋体" w:hAnsi="宋体" w:eastAsia="宋体" w:cs="宋体"/>
                <w:i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1568">
            <w:pPr>
              <w:keepNext w:val="0"/>
              <w:keepLines w:val="0"/>
              <w:widowControl/>
              <w:suppressLineNumbers w:val="0"/>
              <w:jc w:val="center"/>
              <w:textAlignment w:val="center"/>
              <w:rPr>
                <w:rFonts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100%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957D">
            <w:pPr>
              <w:jc w:val="center"/>
              <w:rPr>
                <w:rFonts w:hint="eastAsia" w:ascii="宋体" w:hAnsi="宋体" w:eastAsia="宋体" w:cs="宋体"/>
                <w:i w:val="0"/>
                <w:color w:val="000000"/>
                <w:sz w:val="18"/>
                <w:szCs w:val="18"/>
                <w:u w:val="none"/>
              </w:rPr>
            </w:pPr>
          </w:p>
        </w:tc>
      </w:tr>
      <w:tr w14:paraId="1890B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455F65E">
            <w:pPr>
              <w:jc w:val="center"/>
              <w:rPr>
                <w:rFonts w:hint="eastAsia" w:ascii="宋体" w:hAnsi="宋体" w:eastAsia="宋体" w:cs="宋体"/>
                <w:i w:val="0"/>
                <w:color w:val="000000"/>
                <w:sz w:val="18"/>
                <w:szCs w:val="18"/>
                <w:u w:val="none"/>
              </w:rPr>
            </w:pPr>
          </w:p>
        </w:tc>
        <w:tc>
          <w:tcPr>
            <w:tcW w:w="1058" w:type="dxa"/>
            <w:vMerge w:val="continue"/>
            <w:tcBorders>
              <w:top w:val="single" w:color="000000" w:sz="4" w:space="0"/>
              <w:left w:val="single" w:color="000000" w:sz="4" w:space="0"/>
              <w:right w:val="single" w:color="000000" w:sz="4" w:space="0"/>
            </w:tcBorders>
            <w:shd w:val="clear" w:color="auto" w:fill="auto"/>
            <w:vAlign w:val="center"/>
          </w:tcPr>
          <w:p w14:paraId="4B621946">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right w:val="single" w:color="000000" w:sz="4" w:space="0"/>
            </w:tcBorders>
            <w:shd w:val="clear" w:color="auto" w:fill="auto"/>
            <w:vAlign w:val="center"/>
          </w:tcPr>
          <w:p w14:paraId="4454D1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66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工作任务完成及时率</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3232">
            <w:pPr>
              <w:jc w:val="center"/>
              <w:rPr>
                <w:rFonts w:hint="eastAsia" w:ascii="宋体" w:hAnsi="宋体" w:eastAsia="宋体" w:cs="宋体"/>
                <w:i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17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0D2E">
            <w:pPr>
              <w:jc w:val="center"/>
              <w:rPr>
                <w:rFonts w:hint="eastAsia" w:ascii="宋体" w:hAnsi="宋体" w:eastAsia="宋体" w:cs="宋体"/>
                <w:i w:val="0"/>
                <w:color w:val="000000"/>
                <w:sz w:val="18"/>
                <w:szCs w:val="18"/>
                <w:u w:val="none"/>
              </w:rPr>
            </w:pPr>
          </w:p>
        </w:tc>
      </w:tr>
      <w:tr w14:paraId="66107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A315E7C">
            <w:pPr>
              <w:jc w:val="center"/>
              <w:rPr>
                <w:rFonts w:hint="eastAsia" w:ascii="宋体" w:hAnsi="宋体" w:eastAsia="宋体" w:cs="宋体"/>
                <w:i w:val="0"/>
                <w:color w:val="000000"/>
                <w:sz w:val="18"/>
                <w:szCs w:val="18"/>
                <w:u w:val="none"/>
              </w:rPr>
            </w:pPr>
          </w:p>
        </w:tc>
        <w:tc>
          <w:tcPr>
            <w:tcW w:w="1058" w:type="dxa"/>
            <w:vMerge w:val="restart"/>
            <w:tcBorders>
              <w:top w:val="single" w:color="000000" w:sz="4" w:space="0"/>
              <w:left w:val="single" w:color="000000" w:sz="4" w:space="0"/>
              <w:right w:val="single" w:color="000000" w:sz="4" w:space="0"/>
            </w:tcBorders>
            <w:shd w:val="clear" w:color="auto" w:fill="auto"/>
            <w:vAlign w:val="center"/>
          </w:tcPr>
          <w:p w14:paraId="057A51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37D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经济效益指标</w:t>
            </w:r>
          </w:p>
        </w:tc>
        <w:tc>
          <w:tcPr>
            <w:tcW w:w="1562" w:type="dxa"/>
            <w:tcBorders>
              <w:top w:val="single" w:color="000000" w:sz="4" w:space="0"/>
              <w:left w:val="single" w:color="000000" w:sz="4" w:space="0"/>
              <w:right w:val="single" w:color="000000" w:sz="4" w:space="0"/>
            </w:tcBorders>
            <w:shd w:val="clear" w:color="auto" w:fill="auto"/>
            <w:vAlign w:val="center"/>
          </w:tcPr>
          <w:p w14:paraId="1D36A855">
            <w:pPr>
              <w:jc w:val="center"/>
              <w:rPr>
                <w:rFonts w:hint="eastAsia" w:ascii="宋体" w:hAnsi="宋体" w:eastAsia="宋体" w:cs="宋体"/>
                <w:i w:val="0"/>
                <w:color w:val="000000"/>
                <w:sz w:val="18"/>
                <w:szCs w:val="18"/>
                <w:u w:val="none"/>
              </w:rPr>
            </w:pPr>
          </w:p>
        </w:tc>
        <w:tc>
          <w:tcPr>
            <w:tcW w:w="1359" w:type="dxa"/>
            <w:tcBorders>
              <w:top w:val="single" w:color="000000" w:sz="4" w:space="0"/>
              <w:left w:val="single" w:color="000000" w:sz="4" w:space="0"/>
              <w:right w:val="single" w:color="000000" w:sz="4" w:space="0"/>
            </w:tcBorders>
            <w:shd w:val="clear" w:color="auto" w:fill="auto"/>
            <w:vAlign w:val="center"/>
          </w:tcPr>
          <w:p w14:paraId="46D02DC5">
            <w:pPr>
              <w:jc w:val="center"/>
              <w:rPr>
                <w:rFonts w:hint="eastAsia" w:ascii="宋体" w:hAnsi="宋体" w:eastAsia="宋体" w:cs="宋体"/>
                <w:i w:val="0"/>
                <w:color w:val="000000"/>
                <w:sz w:val="18"/>
                <w:szCs w:val="18"/>
                <w:u w:val="none"/>
              </w:rPr>
            </w:pPr>
          </w:p>
        </w:tc>
        <w:tc>
          <w:tcPr>
            <w:tcW w:w="1607" w:type="dxa"/>
            <w:tcBorders>
              <w:top w:val="single" w:color="000000" w:sz="4" w:space="0"/>
              <w:left w:val="single" w:color="000000" w:sz="4" w:space="0"/>
              <w:right w:val="single" w:color="000000" w:sz="4" w:space="0"/>
            </w:tcBorders>
            <w:shd w:val="clear" w:color="auto" w:fill="auto"/>
            <w:vAlign w:val="center"/>
          </w:tcPr>
          <w:p w14:paraId="75233822">
            <w:pPr>
              <w:jc w:val="center"/>
              <w:rPr>
                <w:rFonts w:hint="eastAsia" w:ascii="宋体" w:hAnsi="宋体" w:eastAsia="宋体" w:cs="宋体"/>
                <w:i w:val="0"/>
                <w:color w:val="000000"/>
                <w:sz w:val="18"/>
                <w:szCs w:val="18"/>
                <w:u w:val="none"/>
              </w:rPr>
            </w:pPr>
          </w:p>
        </w:tc>
        <w:tc>
          <w:tcPr>
            <w:tcW w:w="1587" w:type="dxa"/>
            <w:tcBorders>
              <w:top w:val="single" w:color="000000" w:sz="4" w:space="0"/>
              <w:left w:val="single" w:color="000000" w:sz="4" w:space="0"/>
              <w:right w:val="single" w:color="000000" w:sz="4" w:space="0"/>
            </w:tcBorders>
            <w:shd w:val="clear" w:color="auto" w:fill="auto"/>
            <w:vAlign w:val="center"/>
          </w:tcPr>
          <w:p w14:paraId="0F0695D7">
            <w:pPr>
              <w:jc w:val="center"/>
              <w:rPr>
                <w:rFonts w:hint="eastAsia" w:ascii="宋体" w:hAnsi="宋体" w:eastAsia="宋体" w:cs="宋体"/>
                <w:i w:val="0"/>
                <w:color w:val="000000"/>
                <w:sz w:val="18"/>
                <w:szCs w:val="18"/>
                <w:u w:val="none"/>
              </w:rPr>
            </w:pPr>
          </w:p>
        </w:tc>
      </w:tr>
      <w:tr w14:paraId="01CD8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F54A214">
            <w:pPr>
              <w:jc w:val="center"/>
              <w:rPr>
                <w:rFonts w:hint="eastAsia" w:ascii="宋体" w:hAnsi="宋体" w:eastAsia="宋体" w:cs="宋体"/>
                <w:i w:val="0"/>
                <w:color w:val="000000"/>
                <w:sz w:val="18"/>
                <w:szCs w:val="18"/>
                <w:u w:val="none"/>
              </w:rPr>
            </w:pPr>
          </w:p>
        </w:tc>
        <w:tc>
          <w:tcPr>
            <w:tcW w:w="1058" w:type="dxa"/>
            <w:vMerge w:val="continue"/>
            <w:tcBorders>
              <w:top w:val="single" w:color="000000" w:sz="4" w:space="0"/>
              <w:left w:val="single" w:color="000000" w:sz="4" w:space="0"/>
              <w:right w:val="single" w:color="000000" w:sz="4" w:space="0"/>
            </w:tcBorders>
            <w:shd w:val="clear" w:color="auto" w:fill="auto"/>
            <w:vAlign w:val="center"/>
          </w:tcPr>
          <w:p w14:paraId="1EB190B7">
            <w:pPr>
              <w:jc w:val="center"/>
              <w:rPr>
                <w:rFonts w:hint="eastAsia" w:ascii="宋体" w:hAnsi="宋体" w:eastAsia="宋体" w:cs="宋体"/>
                <w:i w:val="0"/>
                <w:color w:val="000000"/>
                <w:sz w:val="18"/>
                <w:szCs w:val="18"/>
                <w:u w:val="none"/>
              </w:rPr>
            </w:pPr>
          </w:p>
        </w:tc>
        <w:tc>
          <w:tcPr>
            <w:tcW w:w="960" w:type="dxa"/>
            <w:vMerge w:val="restart"/>
            <w:tcBorders>
              <w:top w:val="single" w:color="000000" w:sz="4" w:space="0"/>
              <w:left w:val="single" w:color="000000" w:sz="4" w:space="0"/>
              <w:right w:val="single" w:color="000000" w:sz="4" w:space="0"/>
            </w:tcBorders>
            <w:shd w:val="clear" w:color="auto" w:fill="auto"/>
            <w:vAlign w:val="center"/>
          </w:tcPr>
          <w:p w14:paraId="69E5401B">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社会效益指标</w:t>
            </w:r>
          </w:p>
        </w:tc>
        <w:tc>
          <w:tcPr>
            <w:tcW w:w="1562" w:type="dxa"/>
            <w:tcBorders>
              <w:top w:val="single" w:color="000000" w:sz="4" w:space="0"/>
              <w:left w:val="single" w:color="000000" w:sz="4" w:space="0"/>
              <w:right w:val="single" w:color="000000" w:sz="4" w:space="0"/>
            </w:tcBorders>
            <w:shd w:val="clear" w:color="auto" w:fill="auto"/>
            <w:vAlign w:val="center"/>
          </w:tcPr>
          <w:p w14:paraId="00A012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受助对象经济负担</w:t>
            </w:r>
          </w:p>
        </w:tc>
        <w:tc>
          <w:tcPr>
            <w:tcW w:w="1359" w:type="dxa"/>
            <w:tcBorders>
              <w:top w:val="single" w:color="000000" w:sz="4" w:space="0"/>
              <w:left w:val="single" w:color="000000" w:sz="4" w:space="0"/>
              <w:right w:val="single" w:color="000000" w:sz="4" w:space="0"/>
            </w:tcBorders>
            <w:shd w:val="clear" w:color="auto" w:fill="auto"/>
            <w:vAlign w:val="center"/>
          </w:tcPr>
          <w:p w14:paraId="0496F090">
            <w:pPr>
              <w:jc w:val="center"/>
              <w:rPr>
                <w:rFonts w:hint="eastAsia" w:ascii="宋体" w:hAnsi="宋体" w:eastAsia="宋体" w:cs="宋体"/>
                <w:i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44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减轻</w:t>
            </w:r>
          </w:p>
        </w:tc>
        <w:tc>
          <w:tcPr>
            <w:tcW w:w="1587" w:type="dxa"/>
            <w:tcBorders>
              <w:top w:val="single" w:color="000000" w:sz="4" w:space="0"/>
              <w:left w:val="single" w:color="000000" w:sz="4" w:space="0"/>
              <w:right w:val="single" w:color="000000" w:sz="4" w:space="0"/>
            </w:tcBorders>
            <w:shd w:val="clear" w:color="auto" w:fill="auto"/>
            <w:vAlign w:val="center"/>
          </w:tcPr>
          <w:p w14:paraId="7ABB2719">
            <w:pPr>
              <w:jc w:val="center"/>
              <w:rPr>
                <w:rFonts w:hint="eastAsia" w:ascii="宋体" w:hAnsi="宋体" w:eastAsia="宋体" w:cs="宋体"/>
                <w:i w:val="0"/>
                <w:color w:val="000000"/>
                <w:sz w:val="18"/>
                <w:szCs w:val="18"/>
                <w:u w:val="none"/>
              </w:rPr>
            </w:pPr>
          </w:p>
        </w:tc>
      </w:tr>
      <w:tr w14:paraId="17328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142D75F">
            <w:pPr>
              <w:jc w:val="center"/>
              <w:rPr>
                <w:rFonts w:hint="eastAsia" w:ascii="宋体" w:hAnsi="宋体" w:eastAsia="宋体" w:cs="宋体"/>
                <w:i w:val="0"/>
                <w:color w:val="000000"/>
                <w:sz w:val="18"/>
                <w:szCs w:val="18"/>
                <w:u w:val="none"/>
              </w:rPr>
            </w:pPr>
          </w:p>
        </w:tc>
        <w:tc>
          <w:tcPr>
            <w:tcW w:w="1058" w:type="dxa"/>
            <w:vMerge w:val="continue"/>
            <w:tcBorders>
              <w:top w:val="single" w:color="000000" w:sz="4" w:space="0"/>
              <w:left w:val="single" w:color="000000" w:sz="4" w:space="0"/>
              <w:right w:val="single" w:color="000000" w:sz="4" w:space="0"/>
            </w:tcBorders>
            <w:shd w:val="clear" w:color="auto" w:fill="auto"/>
            <w:vAlign w:val="center"/>
          </w:tcPr>
          <w:p w14:paraId="7132B223">
            <w:pPr>
              <w:jc w:val="center"/>
              <w:rPr>
                <w:rFonts w:hint="eastAsia" w:ascii="宋体" w:hAnsi="宋体" w:eastAsia="宋体" w:cs="宋体"/>
                <w:i w:val="0"/>
                <w:color w:val="000000"/>
                <w:sz w:val="18"/>
                <w:szCs w:val="18"/>
                <w:u w:val="none"/>
              </w:rPr>
            </w:pPr>
          </w:p>
        </w:tc>
        <w:tc>
          <w:tcPr>
            <w:tcW w:w="960" w:type="dxa"/>
            <w:vMerge w:val="continue"/>
            <w:tcBorders>
              <w:top w:val="single" w:color="000000" w:sz="4" w:space="0"/>
              <w:left w:val="single" w:color="000000" w:sz="4" w:space="0"/>
              <w:right w:val="single" w:color="000000" w:sz="4" w:space="0"/>
            </w:tcBorders>
            <w:shd w:val="clear" w:color="auto" w:fill="auto"/>
            <w:vAlign w:val="center"/>
          </w:tcPr>
          <w:p w14:paraId="76CBC1D3">
            <w:pPr>
              <w:jc w:val="center"/>
              <w:rPr>
                <w:rFonts w:hint="eastAsia" w:ascii="仿宋" w:hAnsi="仿宋" w:eastAsia="仿宋" w:cs="仿宋"/>
                <w:i w:val="0"/>
                <w:color w:val="000000"/>
                <w:sz w:val="22"/>
                <w:szCs w:val="22"/>
                <w:u w:val="none"/>
              </w:rPr>
            </w:pPr>
          </w:p>
        </w:tc>
        <w:tc>
          <w:tcPr>
            <w:tcW w:w="1562" w:type="dxa"/>
            <w:tcBorders>
              <w:top w:val="single" w:color="000000" w:sz="4" w:space="0"/>
              <w:left w:val="single" w:color="000000" w:sz="4" w:space="0"/>
              <w:right w:val="single" w:color="000000" w:sz="4" w:space="0"/>
            </w:tcBorders>
            <w:shd w:val="clear" w:color="auto" w:fill="auto"/>
            <w:vAlign w:val="center"/>
          </w:tcPr>
          <w:p w14:paraId="7B6196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计划生育基本国策</w:t>
            </w:r>
          </w:p>
        </w:tc>
        <w:tc>
          <w:tcPr>
            <w:tcW w:w="1359" w:type="dxa"/>
            <w:tcBorders>
              <w:top w:val="single" w:color="000000" w:sz="4" w:space="0"/>
              <w:left w:val="single" w:color="000000" w:sz="4" w:space="0"/>
              <w:right w:val="single" w:color="000000" w:sz="4" w:space="0"/>
            </w:tcBorders>
            <w:shd w:val="clear" w:color="auto" w:fill="auto"/>
            <w:vAlign w:val="center"/>
          </w:tcPr>
          <w:p w14:paraId="4D5D5863">
            <w:pPr>
              <w:jc w:val="center"/>
              <w:rPr>
                <w:rFonts w:hint="eastAsia" w:ascii="宋体" w:hAnsi="宋体" w:eastAsia="宋体" w:cs="宋体"/>
                <w:i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B7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w:t>
            </w:r>
          </w:p>
        </w:tc>
        <w:tc>
          <w:tcPr>
            <w:tcW w:w="1587" w:type="dxa"/>
            <w:tcBorders>
              <w:top w:val="single" w:color="000000" w:sz="4" w:space="0"/>
              <w:left w:val="single" w:color="000000" w:sz="4" w:space="0"/>
              <w:right w:val="single" w:color="000000" w:sz="4" w:space="0"/>
            </w:tcBorders>
            <w:shd w:val="clear" w:color="auto" w:fill="auto"/>
            <w:vAlign w:val="center"/>
          </w:tcPr>
          <w:p w14:paraId="4D7AABF6">
            <w:pPr>
              <w:jc w:val="center"/>
              <w:rPr>
                <w:rFonts w:hint="eastAsia" w:ascii="宋体" w:hAnsi="宋体" w:eastAsia="宋体" w:cs="宋体"/>
                <w:i w:val="0"/>
                <w:color w:val="000000"/>
                <w:sz w:val="18"/>
                <w:szCs w:val="18"/>
                <w:u w:val="none"/>
              </w:rPr>
            </w:pPr>
          </w:p>
        </w:tc>
      </w:tr>
      <w:tr w14:paraId="7FFFF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66C917">
            <w:pPr>
              <w:jc w:val="center"/>
              <w:rPr>
                <w:rFonts w:hint="eastAsia" w:ascii="宋体" w:hAnsi="宋体" w:eastAsia="宋体" w:cs="宋体"/>
                <w:i w:val="0"/>
                <w:color w:val="000000"/>
                <w:sz w:val="18"/>
                <w:szCs w:val="18"/>
                <w:u w:val="none"/>
              </w:rPr>
            </w:pPr>
          </w:p>
        </w:tc>
        <w:tc>
          <w:tcPr>
            <w:tcW w:w="1058" w:type="dxa"/>
            <w:vMerge w:val="continue"/>
            <w:tcBorders>
              <w:top w:val="single" w:color="000000" w:sz="4" w:space="0"/>
              <w:left w:val="single" w:color="000000" w:sz="4" w:space="0"/>
              <w:right w:val="single" w:color="000000" w:sz="4" w:space="0"/>
            </w:tcBorders>
            <w:shd w:val="clear" w:color="auto" w:fill="auto"/>
            <w:vAlign w:val="center"/>
          </w:tcPr>
          <w:p w14:paraId="3567CC68">
            <w:pPr>
              <w:jc w:val="center"/>
              <w:rPr>
                <w:rFonts w:hint="eastAsia" w:ascii="宋体" w:hAnsi="宋体" w:eastAsia="宋体" w:cs="宋体"/>
                <w:i w:val="0"/>
                <w:color w:val="000000"/>
                <w:sz w:val="18"/>
                <w:szCs w:val="18"/>
                <w:u w:val="none"/>
              </w:rPr>
            </w:pPr>
          </w:p>
        </w:tc>
        <w:tc>
          <w:tcPr>
            <w:tcW w:w="960" w:type="dxa"/>
            <w:vMerge w:val="continue"/>
            <w:tcBorders>
              <w:top w:val="single" w:color="000000" w:sz="4" w:space="0"/>
              <w:left w:val="single" w:color="000000" w:sz="4" w:space="0"/>
              <w:right w:val="single" w:color="000000" w:sz="4" w:space="0"/>
            </w:tcBorders>
            <w:shd w:val="clear" w:color="auto" w:fill="auto"/>
            <w:vAlign w:val="center"/>
          </w:tcPr>
          <w:p w14:paraId="40EF1D5E">
            <w:pPr>
              <w:jc w:val="center"/>
              <w:rPr>
                <w:rFonts w:hint="eastAsia" w:ascii="仿宋" w:hAnsi="仿宋" w:eastAsia="仿宋" w:cs="仿宋"/>
                <w:i w:val="0"/>
                <w:color w:val="000000"/>
                <w:sz w:val="22"/>
                <w:szCs w:val="22"/>
                <w:u w:val="none"/>
              </w:rPr>
            </w:pPr>
          </w:p>
        </w:tc>
        <w:tc>
          <w:tcPr>
            <w:tcW w:w="1562" w:type="dxa"/>
            <w:tcBorders>
              <w:top w:val="single" w:color="000000" w:sz="4" w:space="0"/>
              <w:left w:val="single" w:color="000000" w:sz="4" w:space="0"/>
              <w:right w:val="single" w:color="000000" w:sz="4" w:space="0"/>
            </w:tcBorders>
            <w:shd w:val="clear" w:color="auto" w:fill="auto"/>
            <w:vAlign w:val="center"/>
          </w:tcPr>
          <w:p w14:paraId="25A147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维护生育健康、社会和谐稳定</w:t>
            </w:r>
          </w:p>
        </w:tc>
        <w:tc>
          <w:tcPr>
            <w:tcW w:w="1359" w:type="dxa"/>
            <w:tcBorders>
              <w:top w:val="single" w:color="000000" w:sz="4" w:space="0"/>
              <w:left w:val="single" w:color="000000" w:sz="4" w:space="0"/>
              <w:right w:val="single" w:color="000000" w:sz="4" w:space="0"/>
            </w:tcBorders>
            <w:shd w:val="clear" w:color="auto" w:fill="auto"/>
            <w:vAlign w:val="center"/>
          </w:tcPr>
          <w:p w14:paraId="1FEFB35F">
            <w:pPr>
              <w:jc w:val="center"/>
              <w:rPr>
                <w:rFonts w:hint="eastAsia" w:ascii="宋体" w:hAnsi="宋体" w:eastAsia="宋体" w:cs="宋体"/>
                <w:i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0E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较大促进</w:t>
            </w:r>
          </w:p>
        </w:tc>
        <w:tc>
          <w:tcPr>
            <w:tcW w:w="1587" w:type="dxa"/>
            <w:tcBorders>
              <w:top w:val="single" w:color="000000" w:sz="4" w:space="0"/>
              <w:left w:val="single" w:color="000000" w:sz="4" w:space="0"/>
              <w:right w:val="single" w:color="000000" w:sz="4" w:space="0"/>
            </w:tcBorders>
            <w:shd w:val="clear" w:color="auto" w:fill="auto"/>
            <w:vAlign w:val="center"/>
          </w:tcPr>
          <w:p w14:paraId="429B38E1">
            <w:pPr>
              <w:jc w:val="center"/>
              <w:rPr>
                <w:rFonts w:hint="eastAsia" w:ascii="宋体" w:hAnsi="宋体" w:eastAsia="宋体" w:cs="宋体"/>
                <w:i w:val="0"/>
                <w:color w:val="000000"/>
                <w:sz w:val="18"/>
                <w:szCs w:val="18"/>
                <w:u w:val="none"/>
              </w:rPr>
            </w:pPr>
          </w:p>
        </w:tc>
      </w:tr>
      <w:tr w14:paraId="100F2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E60C22">
            <w:pPr>
              <w:jc w:val="center"/>
              <w:rPr>
                <w:rFonts w:hint="eastAsia" w:ascii="宋体" w:hAnsi="宋体" w:eastAsia="宋体" w:cs="宋体"/>
                <w:i w:val="0"/>
                <w:color w:val="000000"/>
                <w:sz w:val="18"/>
                <w:szCs w:val="18"/>
                <w:u w:val="none"/>
              </w:rPr>
            </w:pPr>
          </w:p>
        </w:tc>
        <w:tc>
          <w:tcPr>
            <w:tcW w:w="1058" w:type="dxa"/>
            <w:vMerge w:val="continue"/>
            <w:tcBorders>
              <w:top w:val="single" w:color="000000" w:sz="4" w:space="0"/>
              <w:left w:val="single" w:color="000000" w:sz="4" w:space="0"/>
              <w:right w:val="single" w:color="000000" w:sz="4" w:space="0"/>
            </w:tcBorders>
            <w:shd w:val="clear" w:color="auto" w:fill="auto"/>
            <w:vAlign w:val="center"/>
          </w:tcPr>
          <w:p w14:paraId="14419B36">
            <w:pPr>
              <w:jc w:val="center"/>
              <w:rPr>
                <w:rFonts w:hint="eastAsia" w:ascii="宋体" w:hAnsi="宋体" w:eastAsia="宋体" w:cs="宋体"/>
                <w:i w:val="0"/>
                <w:color w:val="000000"/>
                <w:sz w:val="18"/>
                <w:szCs w:val="18"/>
                <w:u w:val="none"/>
              </w:rPr>
            </w:pPr>
          </w:p>
        </w:tc>
        <w:tc>
          <w:tcPr>
            <w:tcW w:w="960" w:type="dxa"/>
            <w:vMerge w:val="continue"/>
            <w:tcBorders>
              <w:top w:val="single" w:color="000000" w:sz="4" w:space="0"/>
              <w:left w:val="single" w:color="000000" w:sz="4" w:space="0"/>
              <w:right w:val="single" w:color="000000" w:sz="4" w:space="0"/>
            </w:tcBorders>
            <w:shd w:val="clear" w:color="auto" w:fill="auto"/>
            <w:vAlign w:val="center"/>
          </w:tcPr>
          <w:p w14:paraId="0B458F9E">
            <w:pPr>
              <w:jc w:val="center"/>
              <w:rPr>
                <w:rFonts w:hint="eastAsia" w:ascii="仿宋" w:hAnsi="仿宋" w:eastAsia="仿宋" w:cs="仿宋"/>
                <w:i w:val="0"/>
                <w:color w:val="000000"/>
                <w:sz w:val="22"/>
                <w:szCs w:val="22"/>
                <w:u w:val="none"/>
              </w:rPr>
            </w:pPr>
          </w:p>
        </w:tc>
        <w:tc>
          <w:tcPr>
            <w:tcW w:w="1562" w:type="dxa"/>
            <w:tcBorders>
              <w:top w:val="single" w:color="000000" w:sz="4" w:space="0"/>
              <w:left w:val="single" w:color="000000" w:sz="4" w:space="0"/>
              <w:right w:val="single" w:color="000000" w:sz="4" w:space="0"/>
            </w:tcBorders>
            <w:shd w:val="clear" w:color="auto" w:fill="auto"/>
            <w:vAlign w:val="center"/>
          </w:tcPr>
          <w:p w14:paraId="31E95E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促进计生事业转型发展</w:t>
            </w:r>
          </w:p>
        </w:tc>
        <w:tc>
          <w:tcPr>
            <w:tcW w:w="1359" w:type="dxa"/>
            <w:tcBorders>
              <w:top w:val="single" w:color="000000" w:sz="4" w:space="0"/>
              <w:left w:val="single" w:color="000000" w:sz="4" w:space="0"/>
              <w:right w:val="single" w:color="000000" w:sz="4" w:space="0"/>
            </w:tcBorders>
            <w:shd w:val="clear" w:color="auto" w:fill="auto"/>
            <w:vAlign w:val="center"/>
          </w:tcPr>
          <w:p w14:paraId="140E70C6">
            <w:pPr>
              <w:jc w:val="center"/>
              <w:rPr>
                <w:rFonts w:hint="eastAsia" w:ascii="宋体" w:hAnsi="宋体" w:eastAsia="宋体" w:cs="宋体"/>
                <w:i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C0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较大促进</w:t>
            </w:r>
          </w:p>
        </w:tc>
        <w:tc>
          <w:tcPr>
            <w:tcW w:w="1587" w:type="dxa"/>
            <w:tcBorders>
              <w:top w:val="single" w:color="000000" w:sz="4" w:space="0"/>
              <w:left w:val="single" w:color="000000" w:sz="4" w:space="0"/>
              <w:right w:val="single" w:color="000000" w:sz="4" w:space="0"/>
            </w:tcBorders>
            <w:shd w:val="clear" w:color="auto" w:fill="auto"/>
            <w:vAlign w:val="center"/>
          </w:tcPr>
          <w:p w14:paraId="4E534E7F">
            <w:pPr>
              <w:jc w:val="center"/>
              <w:rPr>
                <w:rFonts w:hint="eastAsia" w:ascii="宋体" w:hAnsi="宋体" w:eastAsia="宋体" w:cs="宋体"/>
                <w:i w:val="0"/>
                <w:color w:val="000000"/>
                <w:sz w:val="18"/>
                <w:szCs w:val="18"/>
                <w:u w:val="none"/>
              </w:rPr>
            </w:pPr>
          </w:p>
        </w:tc>
      </w:tr>
      <w:tr w14:paraId="7475F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361"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35CEED3">
            <w:pPr>
              <w:jc w:val="center"/>
              <w:rPr>
                <w:rFonts w:hint="eastAsia" w:ascii="宋体" w:hAnsi="宋体" w:eastAsia="宋体" w:cs="宋体"/>
                <w:i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94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960" w:type="dxa"/>
            <w:tcBorders>
              <w:top w:val="single" w:color="000000" w:sz="4" w:space="0"/>
              <w:left w:val="single" w:color="000000" w:sz="4" w:space="0"/>
              <w:right w:val="single" w:color="000000" w:sz="4" w:space="0"/>
            </w:tcBorders>
            <w:shd w:val="clear" w:color="auto" w:fill="auto"/>
            <w:vAlign w:val="center"/>
          </w:tcPr>
          <w:p w14:paraId="41CA83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562" w:type="dxa"/>
            <w:tcBorders>
              <w:top w:val="single" w:color="000000" w:sz="4" w:space="0"/>
              <w:left w:val="single" w:color="000000" w:sz="4" w:space="0"/>
              <w:right w:val="single" w:color="000000" w:sz="4" w:space="0"/>
            </w:tcBorders>
            <w:shd w:val="clear" w:color="auto" w:fill="auto"/>
            <w:vAlign w:val="center"/>
          </w:tcPr>
          <w:p w14:paraId="2CCEF3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受助对象及家庭满意度</w:t>
            </w:r>
          </w:p>
        </w:tc>
        <w:tc>
          <w:tcPr>
            <w:tcW w:w="1359" w:type="dxa"/>
            <w:tcBorders>
              <w:top w:val="single" w:color="000000" w:sz="4" w:space="0"/>
              <w:left w:val="single" w:color="000000" w:sz="4" w:space="0"/>
              <w:right w:val="single" w:color="000000" w:sz="4" w:space="0"/>
            </w:tcBorders>
            <w:shd w:val="clear" w:color="auto" w:fill="auto"/>
            <w:vAlign w:val="center"/>
          </w:tcPr>
          <w:p w14:paraId="748CDA58">
            <w:pPr>
              <w:jc w:val="center"/>
              <w:rPr>
                <w:rFonts w:hint="eastAsia" w:ascii="宋体" w:hAnsi="宋体" w:eastAsia="宋体" w:cs="宋体"/>
                <w:i w:val="0"/>
                <w:color w:val="000000"/>
                <w:sz w:val="18"/>
                <w:szCs w:val="18"/>
                <w:u w:val="none"/>
              </w:rPr>
            </w:pPr>
          </w:p>
        </w:tc>
        <w:tc>
          <w:tcPr>
            <w:tcW w:w="1607" w:type="dxa"/>
            <w:tcBorders>
              <w:top w:val="single" w:color="000000" w:sz="4" w:space="0"/>
              <w:left w:val="single" w:color="000000" w:sz="4" w:space="0"/>
              <w:right w:val="single" w:color="000000" w:sz="4" w:space="0"/>
            </w:tcBorders>
            <w:shd w:val="clear" w:color="auto" w:fill="auto"/>
            <w:vAlign w:val="center"/>
          </w:tcPr>
          <w:p w14:paraId="3CCA30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90%以上</w:t>
            </w:r>
          </w:p>
        </w:tc>
        <w:tc>
          <w:tcPr>
            <w:tcW w:w="1587" w:type="dxa"/>
            <w:tcBorders>
              <w:top w:val="single" w:color="000000" w:sz="4" w:space="0"/>
              <w:left w:val="single" w:color="000000" w:sz="4" w:space="0"/>
              <w:right w:val="single" w:color="000000" w:sz="4" w:space="0"/>
            </w:tcBorders>
            <w:shd w:val="clear" w:color="auto" w:fill="auto"/>
            <w:vAlign w:val="center"/>
          </w:tcPr>
          <w:p w14:paraId="1563FE9F">
            <w:pPr>
              <w:jc w:val="center"/>
              <w:rPr>
                <w:rFonts w:hint="eastAsia" w:ascii="宋体" w:hAnsi="宋体" w:eastAsia="宋体" w:cs="宋体"/>
                <w:i w:val="0"/>
                <w:color w:val="000000"/>
                <w:sz w:val="18"/>
                <w:szCs w:val="18"/>
                <w:u w:val="none"/>
              </w:rPr>
            </w:pPr>
          </w:p>
        </w:tc>
      </w:tr>
      <w:tr w14:paraId="10834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1" w:hRule="atLeast"/>
        </w:trPr>
        <w:tc>
          <w:tcPr>
            <w:tcW w:w="3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F0EEC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财政资金管理科室（盖章）</w:t>
            </w:r>
          </w:p>
          <w:p w14:paraId="6B2581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    月     日</w:t>
            </w:r>
          </w:p>
        </w:tc>
        <w:tc>
          <w:tcPr>
            <w:tcW w:w="45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9FF3E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财政绩效管理科室（盖章）</w:t>
            </w:r>
          </w:p>
          <w:p w14:paraId="1861A1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    月     日</w:t>
            </w:r>
          </w:p>
        </w:tc>
      </w:tr>
    </w:tbl>
    <w:p w14:paraId="2E89CB64">
      <w:pPr>
        <w:pStyle w:val="6"/>
        <w:keepNext w:val="0"/>
        <w:keepLines w:val="0"/>
        <w:pageBreakBefore w:val="0"/>
        <w:widowControl w:val="0"/>
        <w:numPr>
          <w:ilvl w:val="0"/>
          <w:numId w:val="0"/>
        </w:numPr>
        <w:kinsoku/>
        <w:wordWrap/>
        <w:overflowPunct/>
        <w:topLinePunct w:val="0"/>
        <w:autoSpaceDE/>
        <w:autoSpaceDN/>
        <w:bidi w:val="0"/>
        <w:spacing w:line="460" w:lineRule="atLeast"/>
        <w:jc w:val="both"/>
        <w:textAlignment w:val="auto"/>
        <w:rPr>
          <w:rFonts w:hint="eastAsia" w:ascii="仿宋_GB2312" w:eastAsia="仿宋_GB2312"/>
          <w:b/>
          <w:bCs/>
          <w:color w:val="000000"/>
          <w:sz w:val="36"/>
          <w:szCs w:val="36"/>
          <w:highlight w:val="none"/>
          <w:lang w:val="en-US" w:eastAsia="zh-CN"/>
        </w:rPr>
      </w:pPr>
    </w:p>
    <w:tbl>
      <w:tblPr>
        <w:tblStyle w:val="3"/>
        <w:tblW w:w="9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97"/>
        <w:gridCol w:w="1163"/>
        <w:gridCol w:w="1051"/>
        <w:gridCol w:w="1703"/>
        <w:gridCol w:w="1491"/>
        <w:gridCol w:w="1774"/>
        <w:gridCol w:w="1741"/>
      </w:tblGrid>
      <w:tr w14:paraId="3C1D8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2" w:hRule="atLeast"/>
        </w:trPr>
        <w:tc>
          <w:tcPr>
            <w:tcW w:w="9320" w:type="dxa"/>
            <w:gridSpan w:val="7"/>
            <w:shd w:val="clear" w:color="auto" w:fill="auto"/>
            <w:vAlign w:val="center"/>
          </w:tcPr>
          <w:p w14:paraId="7CBF5392">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项目支出绩效目标批复表</w:t>
            </w:r>
          </w:p>
        </w:tc>
      </w:tr>
      <w:tr w14:paraId="6A1DD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2" w:hRule="atLeast"/>
        </w:trPr>
        <w:tc>
          <w:tcPr>
            <w:tcW w:w="9320" w:type="dxa"/>
            <w:gridSpan w:val="7"/>
            <w:shd w:val="clear" w:color="auto" w:fill="auto"/>
            <w:vAlign w:val="center"/>
          </w:tcPr>
          <w:p w14:paraId="6341CE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14:paraId="17584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2" w:hRule="atLeast"/>
        </w:trPr>
        <w:tc>
          <w:tcPr>
            <w:tcW w:w="9320" w:type="dxa"/>
            <w:gridSpan w:val="7"/>
            <w:tcBorders>
              <w:bottom w:val="single" w:color="000000" w:sz="4" w:space="0"/>
            </w:tcBorders>
            <w:shd w:val="clear" w:color="auto" w:fill="auto"/>
            <w:vAlign w:val="center"/>
          </w:tcPr>
          <w:p w14:paraId="38F4C091">
            <w:pPr>
              <w:jc w:val="left"/>
              <w:rPr>
                <w:rFonts w:hint="eastAsia" w:ascii="宋体" w:hAnsi="宋体" w:eastAsia="宋体" w:cs="宋体"/>
                <w:i w:val="0"/>
                <w:color w:val="000000"/>
                <w:sz w:val="22"/>
                <w:szCs w:val="22"/>
                <w:u w:val="none"/>
              </w:rPr>
            </w:pPr>
          </w:p>
        </w:tc>
      </w:tr>
      <w:tr w14:paraId="1242C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trPr>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F7F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20D3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人口健康发展补助经费</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88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项目负责人</w:t>
            </w:r>
          </w:p>
        </w:tc>
        <w:tc>
          <w:tcPr>
            <w:tcW w:w="3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06938">
            <w:pPr>
              <w:jc w:val="center"/>
              <w:rPr>
                <w:rFonts w:hint="eastAsia" w:ascii="宋体" w:hAnsi="宋体" w:eastAsia="宋体" w:cs="宋体"/>
                <w:i w:val="0"/>
                <w:color w:val="000000"/>
                <w:sz w:val="18"/>
                <w:szCs w:val="18"/>
                <w:u w:val="none"/>
              </w:rPr>
            </w:pPr>
          </w:p>
        </w:tc>
      </w:tr>
      <w:tr w14:paraId="4C181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3" w:hRule="atLeast"/>
        </w:trPr>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7AD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项目金额</w:t>
            </w: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06CB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400万</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A1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其中：当年市级财政资金</w:t>
            </w:r>
          </w:p>
        </w:tc>
        <w:tc>
          <w:tcPr>
            <w:tcW w:w="3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B649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400万</w:t>
            </w:r>
          </w:p>
        </w:tc>
      </w:tr>
      <w:tr w14:paraId="70974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E45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项目主管部门</w:t>
            </w: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39BE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黄石市卫生健康委员会</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BB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5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8A4D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黄石市卫生健康委员会</w:t>
            </w:r>
          </w:p>
        </w:tc>
      </w:tr>
      <w:tr w14:paraId="34B5F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trPr>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BDB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项目属性</w:t>
            </w: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4250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持续性项目口</w:t>
            </w:r>
            <w:r>
              <w:rPr>
                <w:rStyle w:val="14"/>
                <w:lang w:val="en-US" w:eastAsia="zh-CN" w:bidi="ar"/>
              </w:rPr>
              <w:t xml:space="preserve">    新增性项目■</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65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项目期</w:t>
            </w:r>
          </w:p>
        </w:tc>
        <w:tc>
          <w:tcPr>
            <w:tcW w:w="35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0D8E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w:t>
            </w:r>
          </w:p>
        </w:tc>
      </w:tr>
      <w:tr w14:paraId="3436E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3" w:hRule="atLeast"/>
        </w:trPr>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9106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年度绩效目标    （文字）</w:t>
            </w:r>
          </w:p>
        </w:tc>
        <w:tc>
          <w:tcPr>
            <w:tcW w:w="77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1C60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有效释放生育潜能，提升家庭发展能力</w:t>
            </w:r>
          </w:p>
        </w:tc>
      </w:tr>
      <w:tr w14:paraId="6044C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trPr>
        <w:tc>
          <w:tcPr>
            <w:tcW w:w="397"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C38AD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9D6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0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3EC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AB6A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3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332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387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指标标准或依据</w:t>
            </w:r>
          </w:p>
        </w:tc>
      </w:tr>
      <w:tr w14:paraId="749CC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15D7AD1">
            <w:pPr>
              <w:jc w:val="center"/>
              <w:rPr>
                <w:rFonts w:hint="eastAsia" w:ascii="宋体" w:hAnsi="宋体" w:eastAsia="宋体" w:cs="宋体"/>
                <w:i w:val="0"/>
                <w:color w:val="000000"/>
                <w:sz w:val="18"/>
                <w:szCs w:val="18"/>
                <w:u w:val="none"/>
              </w:rPr>
            </w:pPr>
          </w:p>
        </w:tc>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AFAEE">
            <w:pPr>
              <w:jc w:val="center"/>
              <w:rPr>
                <w:rFonts w:hint="eastAsia" w:ascii="宋体" w:hAnsi="宋体" w:eastAsia="宋体" w:cs="宋体"/>
                <w:i w:val="0"/>
                <w:color w:val="000000"/>
                <w:sz w:val="18"/>
                <w:szCs w:val="18"/>
                <w:u w:val="none"/>
              </w:rPr>
            </w:pPr>
          </w:p>
        </w:tc>
        <w:tc>
          <w:tcPr>
            <w:tcW w:w="10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5A267">
            <w:pPr>
              <w:jc w:val="center"/>
              <w:rPr>
                <w:rFonts w:hint="eastAsia" w:ascii="宋体" w:hAnsi="宋体" w:eastAsia="宋体" w:cs="宋体"/>
                <w:i w:val="0"/>
                <w:color w:val="000000"/>
                <w:sz w:val="18"/>
                <w:szCs w:val="18"/>
                <w:u w:val="none"/>
              </w:rPr>
            </w:pPr>
          </w:p>
        </w:tc>
        <w:tc>
          <w:tcPr>
            <w:tcW w:w="1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2CE3D">
            <w:pPr>
              <w:jc w:val="center"/>
              <w:rPr>
                <w:rFonts w:hint="eastAsia" w:ascii="宋体" w:hAnsi="宋体" w:eastAsia="宋体" w:cs="宋体"/>
                <w:i w:val="0"/>
                <w:color w:val="000000"/>
                <w:sz w:val="18"/>
                <w:szCs w:val="18"/>
                <w:u w:val="none"/>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93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2023年实际实现值</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B9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预期2024年实现值</w:t>
            </w:r>
          </w:p>
        </w:tc>
        <w:tc>
          <w:tcPr>
            <w:tcW w:w="1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2C31B">
            <w:pPr>
              <w:jc w:val="center"/>
              <w:rPr>
                <w:rFonts w:hint="eastAsia" w:ascii="宋体" w:hAnsi="宋体" w:eastAsia="宋体" w:cs="宋体"/>
                <w:i w:val="0"/>
                <w:color w:val="000000"/>
                <w:sz w:val="18"/>
                <w:szCs w:val="18"/>
                <w:u w:val="none"/>
              </w:rPr>
            </w:pPr>
          </w:p>
        </w:tc>
      </w:tr>
      <w:tr w14:paraId="415A7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7A6EF50">
            <w:pPr>
              <w:jc w:val="center"/>
              <w:rPr>
                <w:rFonts w:hint="eastAsia" w:ascii="宋体" w:hAnsi="宋体" w:eastAsia="宋体" w:cs="宋体"/>
                <w:i w:val="0"/>
                <w:color w:val="000000"/>
                <w:sz w:val="18"/>
                <w:szCs w:val="18"/>
                <w:u w:val="none"/>
              </w:rPr>
            </w:pPr>
          </w:p>
        </w:tc>
        <w:tc>
          <w:tcPr>
            <w:tcW w:w="1163" w:type="dxa"/>
            <w:vMerge w:val="restart"/>
            <w:tcBorders>
              <w:top w:val="single" w:color="000000" w:sz="4" w:space="0"/>
              <w:left w:val="single" w:color="000000" w:sz="4" w:space="0"/>
              <w:right w:val="single" w:color="000000" w:sz="4" w:space="0"/>
            </w:tcBorders>
            <w:shd w:val="clear" w:color="auto" w:fill="auto"/>
            <w:vAlign w:val="center"/>
          </w:tcPr>
          <w:p w14:paraId="34EE72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051" w:type="dxa"/>
            <w:vMerge w:val="restart"/>
            <w:tcBorders>
              <w:top w:val="single" w:color="000000" w:sz="4" w:space="0"/>
              <w:left w:val="single" w:color="000000" w:sz="4" w:space="0"/>
              <w:right w:val="single" w:color="000000" w:sz="4" w:space="0"/>
            </w:tcBorders>
            <w:shd w:val="clear" w:color="auto" w:fill="auto"/>
            <w:vAlign w:val="center"/>
          </w:tcPr>
          <w:p w14:paraId="585526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703" w:type="dxa"/>
            <w:tcBorders>
              <w:top w:val="single" w:color="000000" w:sz="4" w:space="0"/>
              <w:left w:val="single" w:color="000000" w:sz="4" w:space="0"/>
              <w:right w:val="single" w:color="000000" w:sz="4" w:space="0"/>
            </w:tcBorders>
            <w:shd w:val="clear" w:color="auto" w:fill="auto"/>
            <w:vAlign w:val="center"/>
          </w:tcPr>
          <w:p w14:paraId="67EC27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生育奖励标准</w:t>
            </w:r>
          </w:p>
        </w:tc>
        <w:tc>
          <w:tcPr>
            <w:tcW w:w="1491" w:type="dxa"/>
            <w:tcBorders>
              <w:top w:val="single" w:color="000000" w:sz="4" w:space="0"/>
              <w:left w:val="single" w:color="000000" w:sz="4" w:space="0"/>
              <w:right w:val="single" w:color="000000" w:sz="4" w:space="0"/>
            </w:tcBorders>
            <w:shd w:val="clear" w:color="auto" w:fill="auto"/>
            <w:vAlign w:val="center"/>
          </w:tcPr>
          <w:p w14:paraId="3F7EC05A">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53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1000元/户</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444C">
            <w:pPr>
              <w:jc w:val="center"/>
              <w:rPr>
                <w:rFonts w:hint="eastAsia" w:ascii="宋体" w:hAnsi="宋体" w:eastAsia="宋体" w:cs="宋体"/>
                <w:i w:val="0"/>
                <w:color w:val="000000"/>
                <w:sz w:val="18"/>
                <w:szCs w:val="18"/>
                <w:u w:val="none"/>
              </w:rPr>
            </w:pPr>
          </w:p>
        </w:tc>
      </w:tr>
      <w:tr w14:paraId="34C66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8D2B30E">
            <w:pPr>
              <w:jc w:val="center"/>
              <w:rPr>
                <w:rFonts w:hint="eastAsia" w:ascii="宋体" w:hAnsi="宋体" w:eastAsia="宋体" w:cs="宋体"/>
                <w:i w:val="0"/>
                <w:color w:val="000000"/>
                <w:sz w:val="18"/>
                <w:szCs w:val="18"/>
                <w:u w:val="none"/>
              </w:rPr>
            </w:pPr>
          </w:p>
        </w:tc>
        <w:tc>
          <w:tcPr>
            <w:tcW w:w="1163" w:type="dxa"/>
            <w:vMerge w:val="continue"/>
            <w:tcBorders>
              <w:top w:val="single" w:color="000000" w:sz="4" w:space="0"/>
              <w:left w:val="single" w:color="000000" w:sz="4" w:space="0"/>
              <w:right w:val="single" w:color="000000" w:sz="4" w:space="0"/>
            </w:tcBorders>
            <w:shd w:val="clear" w:color="auto" w:fill="auto"/>
            <w:vAlign w:val="center"/>
          </w:tcPr>
          <w:p w14:paraId="231BB3AE">
            <w:pPr>
              <w:jc w:val="center"/>
              <w:rPr>
                <w:rFonts w:hint="eastAsia" w:ascii="宋体" w:hAnsi="宋体" w:eastAsia="宋体" w:cs="宋体"/>
                <w:i w:val="0"/>
                <w:color w:val="000000"/>
                <w:sz w:val="18"/>
                <w:szCs w:val="18"/>
                <w:u w:val="none"/>
              </w:rPr>
            </w:pPr>
          </w:p>
        </w:tc>
        <w:tc>
          <w:tcPr>
            <w:tcW w:w="1051" w:type="dxa"/>
            <w:vMerge w:val="continue"/>
            <w:tcBorders>
              <w:top w:val="single" w:color="000000" w:sz="4" w:space="0"/>
              <w:left w:val="single" w:color="000000" w:sz="4" w:space="0"/>
              <w:right w:val="single" w:color="000000" w:sz="4" w:space="0"/>
            </w:tcBorders>
            <w:shd w:val="clear" w:color="auto" w:fill="auto"/>
            <w:vAlign w:val="center"/>
          </w:tcPr>
          <w:p w14:paraId="315790DE">
            <w:pPr>
              <w:jc w:val="center"/>
              <w:rPr>
                <w:rFonts w:hint="eastAsia" w:ascii="宋体" w:hAnsi="宋体" w:eastAsia="宋体" w:cs="宋体"/>
                <w:i w:val="0"/>
                <w:color w:val="000000"/>
                <w:sz w:val="18"/>
                <w:szCs w:val="18"/>
                <w:u w:val="none"/>
              </w:rPr>
            </w:pPr>
          </w:p>
        </w:tc>
        <w:tc>
          <w:tcPr>
            <w:tcW w:w="1703" w:type="dxa"/>
            <w:tcBorders>
              <w:top w:val="single" w:color="000000" w:sz="4" w:space="0"/>
              <w:left w:val="single" w:color="000000" w:sz="4" w:space="0"/>
              <w:right w:val="single" w:color="000000" w:sz="4" w:space="0"/>
            </w:tcBorders>
            <w:shd w:val="clear" w:color="auto" w:fill="auto"/>
            <w:vAlign w:val="center"/>
          </w:tcPr>
          <w:p w14:paraId="4FE2F5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托育补贴标准</w:t>
            </w:r>
          </w:p>
        </w:tc>
        <w:tc>
          <w:tcPr>
            <w:tcW w:w="1491" w:type="dxa"/>
            <w:tcBorders>
              <w:top w:val="single" w:color="000000" w:sz="4" w:space="0"/>
              <w:left w:val="single" w:color="000000" w:sz="4" w:space="0"/>
              <w:right w:val="single" w:color="000000" w:sz="4" w:space="0"/>
            </w:tcBorders>
            <w:shd w:val="clear" w:color="auto" w:fill="auto"/>
            <w:vAlign w:val="center"/>
          </w:tcPr>
          <w:p w14:paraId="70D955B1">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F4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500元/人</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5457">
            <w:pPr>
              <w:jc w:val="center"/>
              <w:rPr>
                <w:rFonts w:hint="eastAsia" w:ascii="宋体" w:hAnsi="宋体" w:eastAsia="宋体" w:cs="宋体"/>
                <w:i w:val="0"/>
                <w:color w:val="000000"/>
                <w:sz w:val="18"/>
                <w:szCs w:val="18"/>
                <w:u w:val="none"/>
              </w:rPr>
            </w:pPr>
          </w:p>
        </w:tc>
      </w:tr>
      <w:tr w14:paraId="2B80C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0958470">
            <w:pPr>
              <w:jc w:val="center"/>
              <w:rPr>
                <w:rFonts w:hint="eastAsia" w:ascii="宋体" w:hAnsi="宋体" w:eastAsia="宋体" w:cs="宋体"/>
                <w:i w:val="0"/>
                <w:color w:val="000000"/>
                <w:sz w:val="18"/>
                <w:szCs w:val="18"/>
                <w:u w:val="none"/>
              </w:rPr>
            </w:pPr>
          </w:p>
        </w:tc>
        <w:tc>
          <w:tcPr>
            <w:tcW w:w="1163" w:type="dxa"/>
            <w:vMerge w:val="continue"/>
            <w:tcBorders>
              <w:top w:val="single" w:color="000000" w:sz="4" w:space="0"/>
              <w:left w:val="single" w:color="000000" w:sz="4" w:space="0"/>
              <w:right w:val="single" w:color="000000" w:sz="4" w:space="0"/>
            </w:tcBorders>
            <w:shd w:val="clear" w:color="auto" w:fill="auto"/>
            <w:vAlign w:val="center"/>
          </w:tcPr>
          <w:p w14:paraId="2687E3DA">
            <w:pPr>
              <w:jc w:val="center"/>
              <w:rPr>
                <w:rFonts w:hint="eastAsia" w:ascii="宋体" w:hAnsi="宋体" w:eastAsia="宋体" w:cs="宋体"/>
                <w:i w:val="0"/>
                <w:color w:val="000000"/>
                <w:sz w:val="18"/>
                <w:szCs w:val="18"/>
                <w:u w:val="none"/>
              </w:rPr>
            </w:pPr>
          </w:p>
        </w:tc>
        <w:tc>
          <w:tcPr>
            <w:tcW w:w="1051" w:type="dxa"/>
            <w:vMerge w:val="continue"/>
            <w:tcBorders>
              <w:top w:val="single" w:color="000000" w:sz="4" w:space="0"/>
              <w:left w:val="single" w:color="000000" w:sz="4" w:space="0"/>
              <w:right w:val="single" w:color="000000" w:sz="4" w:space="0"/>
            </w:tcBorders>
            <w:shd w:val="clear" w:color="auto" w:fill="auto"/>
            <w:vAlign w:val="center"/>
          </w:tcPr>
          <w:p w14:paraId="3B788FA6">
            <w:pPr>
              <w:jc w:val="center"/>
              <w:rPr>
                <w:rFonts w:hint="eastAsia" w:ascii="宋体" w:hAnsi="宋体" w:eastAsia="宋体" w:cs="宋体"/>
                <w:i w:val="0"/>
                <w:color w:val="000000"/>
                <w:sz w:val="18"/>
                <w:szCs w:val="18"/>
                <w:u w:val="none"/>
              </w:rPr>
            </w:pPr>
          </w:p>
        </w:tc>
        <w:tc>
          <w:tcPr>
            <w:tcW w:w="1703" w:type="dxa"/>
            <w:tcBorders>
              <w:top w:val="single" w:color="000000" w:sz="4" w:space="0"/>
              <w:left w:val="single" w:color="000000" w:sz="4" w:space="0"/>
              <w:right w:val="single" w:color="000000" w:sz="4" w:space="0"/>
            </w:tcBorders>
            <w:shd w:val="clear" w:color="auto" w:fill="auto"/>
            <w:vAlign w:val="center"/>
          </w:tcPr>
          <w:p w14:paraId="51C33C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无创产前DNA检测</w:t>
            </w:r>
          </w:p>
        </w:tc>
        <w:tc>
          <w:tcPr>
            <w:tcW w:w="1491" w:type="dxa"/>
            <w:tcBorders>
              <w:top w:val="single" w:color="000000" w:sz="4" w:space="0"/>
              <w:left w:val="single" w:color="000000" w:sz="4" w:space="0"/>
              <w:right w:val="single" w:color="000000" w:sz="4" w:space="0"/>
            </w:tcBorders>
            <w:shd w:val="clear" w:color="auto" w:fill="auto"/>
            <w:vAlign w:val="center"/>
          </w:tcPr>
          <w:p w14:paraId="0CCBC513">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8D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680元/人</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B3DF">
            <w:pPr>
              <w:jc w:val="center"/>
              <w:rPr>
                <w:rFonts w:hint="eastAsia" w:ascii="宋体" w:hAnsi="宋体" w:eastAsia="宋体" w:cs="宋体"/>
                <w:i w:val="0"/>
                <w:color w:val="000000"/>
                <w:sz w:val="18"/>
                <w:szCs w:val="18"/>
                <w:u w:val="none"/>
              </w:rPr>
            </w:pPr>
          </w:p>
        </w:tc>
      </w:tr>
      <w:tr w14:paraId="6990A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3EE0A04">
            <w:pPr>
              <w:jc w:val="center"/>
              <w:rPr>
                <w:rFonts w:hint="eastAsia" w:ascii="宋体" w:hAnsi="宋体" w:eastAsia="宋体" w:cs="宋体"/>
                <w:i w:val="0"/>
                <w:color w:val="000000"/>
                <w:sz w:val="18"/>
                <w:szCs w:val="18"/>
                <w:u w:val="none"/>
              </w:rPr>
            </w:pPr>
          </w:p>
        </w:tc>
        <w:tc>
          <w:tcPr>
            <w:tcW w:w="1163" w:type="dxa"/>
            <w:vMerge w:val="restart"/>
            <w:tcBorders>
              <w:top w:val="single" w:color="000000" w:sz="4" w:space="0"/>
              <w:left w:val="single" w:color="000000" w:sz="4" w:space="0"/>
              <w:right w:val="single" w:color="000000" w:sz="4" w:space="0"/>
            </w:tcBorders>
            <w:shd w:val="clear" w:color="auto" w:fill="auto"/>
            <w:vAlign w:val="center"/>
          </w:tcPr>
          <w:p w14:paraId="4EAB77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051" w:type="dxa"/>
            <w:vMerge w:val="restart"/>
            <w:tcBorders>
              <w:top w:val="single" w:color="000000" w:sz="4" w:space="0"/>
              <w:left w:val="single" w:color="000000" w:sz="4" w:space="0"/>
              <w:right w:val="single" w:color="000000" w:sz="4" w:space="0"/>
            </w:tcBorders>
            <w:shd w:val="clear" w:color="auto" w:fill="auto"/>
            <w:vAlign w:val="center"/>
          </w:tcPr>
          <w:p w14:paraId="7FCFD6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03" w:type="dxa"/>
            <w:tcBorders>
              <w:top w:val="single" w:color="000000" w:sz="4" w:space="0"/>
              <w:left w:val="single" w:color="000000" w:sz="4" w:space="0"/>
              <w:right w:val="single" w:color="000000" w:sz="4" w:space="0"/>
            </w:tcBorders>
            <w:shd w:val="clear" w:color="auto" w:fill="auto"/>
            <w:vAlign w:val="center"/>
          </w:tcPr>
          <w:p w14:paraId="7A452C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生育奖励人数</w:t>
            </w:r>
          </w:p>
        </w:tc>
        <w:tc>
          <w:tcPr>
            <w:tcW w:w="1491" w:type="dxa"/>
            <w:tcBorders>
              <w:top w:val="single" w:color="000000" w:sz="4" w:space="0"/>
              <w:left w:val="single" w:color="000000" w:sz="4" w:space="0"/>
              <w:right w:val="single" w:color="000000" w:sz="4" w:space="0"/>
            </w:tcBorders>
            <w:shd w:val="clear" w:color="auto" w:fill="auto"/>
            <w:vAlign w:val="center"/>
          </w:tcPr>
          <w:p w14:paraId="5E7D74D7">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82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2800人</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70E4">
            <w:pPr>
              <w:jc w:val="center"/>
              <w:rPr>
                <w:rFonts w:hint="eastAsia" w:ascii="宋体" w:hAnsi="宋体" w:eastAsia="宋体" w:cs="宋体"/>
                <w:i w:val="0"/>
                <w:color w:val="000000"/>
                <w:sz w:val="18"/>
                <w:szCs w:val="18"/>
                <w:u w:val="none"/>
              </w:rPr>
            </w:pPr>
          </w:p>
        </w:tc>
      </w:tr>
      <w:tr w14:paraId="260EE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32F155">
            <w:pPr>
              <w:jc w:val="center"/>
              <w:rPr>
                <w:rFonts w:hint="eastAsia" w:ascii="宋体" w:hAnsi="宋体" w:eastAsia="宋体" w:cs="宋体"/>
                <w:i w:val="0"/>
                <w:color w:val="000000"/>
                <w:sz w:val="18"/>
                <w:szCs w:val="18"/>
                <w:u w:val="none"/>
              </w:rPr>
            </w:pPr>
          </w:p>
        </w:tc>
        <w:tc>
          <w:tcPr>
            <w:tcW w:w="1163" w:type="dxa"/>
            <w:vMerge w:val="continue"/>
            <w:tcBorders>
              <w:top w:val="single" w:color="000000" w:sz="4" w:space="0"/>
              <w:left w:val="single" w:color="000000" w:sz="4" w:space="0"/>
              <w:right w:val="single" w:color="000000" w:sz="4" w:space="0"/>
            </w:tcBorders>
            <w:shd w:val="clear" w:color="auto" w:fill="auto"/>
            <w:vAlign w:val="center"/>
          </w:tcPr>
          <w:p w14:paraId="7DEDF885">
            <w:pPr>
              <w:jc w:val="center"/>
              <w:rPr>
                <w:rFonts w:hint="eastAsia" w:ascii="宋体" w:hAnsi="宋体" w:eastAsia="宋体" w:cs="宋体"/>
                <w:i w:val="0"/>
                <w:color w:val="000000"/>
                <w:sz w:val="18"/>
                <w:szCs w:val="18"/>
                <w:u w:val="none"/>
              </w:rPr>
            </w:pPr>
          </w:p>
        </w:tc>
        <w:tc>
          <w:tcPr>
            <w:tcW w:w="1051" w:type="dxa"/>
            <w:vMerge w:val="continue"/>
            <w:tcBorders>
              <w:top w:val="single" w:color="000000" w:sz="4" w:space="0"/>
              <w:left w:val="single" w:color="000000" w:sz="4" w:space="0"/>
              <w:right w:val="single" w:color="000000" w:sz="4" w:space="0"/>
            </w:tcBorders>
            <w:shd w:val="clear" w:color="auto" w:fill="auto"/>
            <w:vAlign w:val="center"/>
          </w:tcPr>
          <w:p w14:paraId="0D52AD79">
            <w:pPr>
              <w:jc w:val="center"/>
              <w:rPr>
                <w:rFonts w:hint="eastAsia" w:ascii="宋体" w:hAnsi="宋体" w:eastAsia="宋体" w:cs="宋体"/>
                <w:i w:val="0"/>
                <w:color w:val="000000"/>
                <w:sz w:val="18"/>
                <w:szCs w:val="18"/>
                <w:u w:val="none"/>
              </w:rPr>
            </w:pPr>
          </w:p>
        </w:tc>
        <w:tc>
          <w:tcPr>
            <w:tcW w:w="1703" w:type="dxa"/>
            <w:tcBorders>
              <w:top w:val="single" w:color="000000" w:sz="4" w:space="0"/>
              <w:left w:val="single" w:color="000000" w:sz="4" w:space="0"/>
              <w:right w:val="single" w:color="000000" w:sz="4" w:space="0"/>
            </w:tcBorders>
            <w:shd w:val="clear" w:color="auto" w:fill="auto"/>
            <w:vAlign w:val="center"/>
          </w:tcPr>
          <w:p w14:paraId="441EF0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托育补贴人数</w:t>
            </w:r>
          </w:p>
        </w:tc>
        <w:tc>
          <w:tcPr>
            <w:tcW w:w="1491" w:type="dxa"/>
            <w:tcBorders>
              <w:top w:val="single" w:color="000000" w:sz="4" w:space="0"/>
              <w:left w:val="single" w:color="000000" w:sz="4" w:space="0"/>
              <w:right w:val="single" w:color="000000" w:sz="4" w:space="0"/>
            </w:tcBorders>
            <w:shd w:val="clear" w:color="auto" w:fill="auto"/>
            <w:vAlign w:val="center"/>
          </w:tcPr>
          <w:p w14:paraId="3CA5D0D6">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5B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800人</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EB7B">
            <w:pPr>
              <w:jc w:val="center"/>
              <w:rPr>
                <w:rFonts w:hint="eastAsia" w:ascii="宋体" w:hAnsi="宋体" w:eastAsia="宋体" w:cs="宋体"/>
                <w:i w:val="0"/>
                <w:color w:val="000000"/>
                <w:sz w:val="18"/>
                <w:szCs w:val="18"/>
                <w:u w:val="none"/>
              </w:rPr>
            </w:pPr>
          </w:p>
        </w:tc>
      </w:tr>
      <w:tr w14:paraId="59E64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3"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53D14A">
            <w:pPr>
              <w:jc w:val="center"/>
              <w:rPr>
                <w:rFonts w:hint="eastAsia" w:ascii="宋体" w:hAnsi="宋体" w:eastAsia="宋体" w:cs="宋体"/>
                <w:i w:val="0"/>
                <w:color w:val="000000"/>
                <w:sz w:val="18"/>
                <w:szCs w:val="18"/>
                <w:u w:val="none"/>
              </w:rPr>
            </w:pPr>
          </w:p>
        </w:tc>
        <w:tc>
          <w:tcPr>
            <w:tcW w:w="1163" w:type="dxa"/>
            <w:vMerge w:val="continue"/>
            <w:tcBorders>
              <w:top w:val="single" w:color="000000" w:sz="4" w:space="0"/>
              <w:left w:val="single" w:color="000000" w:sz="4" w:space="0"/>
              <w:right w:val="single" w:color="000000" w:sz="4" w:space="0"/>
            </w:tcBorders>
            <w:shd w:val="clear" w:color="auto" w:fill="auto"/>
            <w:vAlign w:val="center"/>
          </w:tcPr>
          <w:p w14:paraId="60EBD4BA">
            <w:pPr>
              <w:jc w:val="center"/>
              <w:rPr>
                <w:rFonts w:hint="eastAsia" w:ascii="宋体" w:hAnsi="宋体" w:eastAsia="宋体" w:cs="宋体"/>
                <w:i w:val="0"/>
                <w:color w:val="000000"/>
                <w:sz w:val="18"/>
                <w:szCs w:val="18"/>
                <w:u w:val="none"/>
              </w:rPr>
            </w:pPr>
          </w:p>
        </w:tc>
        <w:tc>
          <w:tcPr>
            <w:tcW w:w="1051" w:type="dxa"/>
            <w:vMerge w:val="continue"/>
            <w:tcBorders>
              <w:top w:val="single" w:color="000000" w:sz="4" w:space="0"/>
              <w:left w:val="single" w:color="000000" w:sz="4" w:space="0"/>
              <w:right w:val="single" w:color="000000" w:sz="4" w:space="0"/>
            </w:tcBorders>
            <w:shd w:val="clear" w:color="auto" w:fill="auto"/>
            <w:vAlign w:val="center"/>
          </w:tcPr>
          <w:p w14:paraId="402593ED">
            <w:pPr>
              <w:jc w:val="center"/>
              <w:rPr>
                <w:rFonts w:hint="eastAsia" w:ascii="宋体" w:hAnsi="宋体" w:eastAsia="宋体" w:cs="宋体"/>
                <w:i w:val="0"/>
                <w:color w:val="000000"/>
                <w:sz w:val="18"/>
                <w:szCs w:val="18"/>
                <w:u w:val="none"/>
              </w:rPr>
            </w:pPr>
          </w:p>
        </w:tc>
        <w:tc>
          <w:tcPr>
            <w:tcW w:w="1703" w:type="dxa"/>
            <w:tcBorders>
              <w:top w:val="single" w:color="000000" w:sz="4" w:space="0"/>
              <w:left w:val="single" w:color="000000" w:sz="4" w:space="0"/>
              <w:right w:val="single" w:color="000000" w:sz="4" w:space="0"/>
            </w:tcBorders>
            <w:shd w:val="clear" w:color="auto" w:fill="auto"/>
            <w:vAlign w:val="center"/>
          </w:tcPr>
          <w:p w14:paraId="586B07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无创产前DNA检测人数</w:t>
            </w:r>
          </w:p>
        </w:tc>
        <w:tc>
          <w:tcPr>
            <w:tcW w:w="1491" w:type="dxa"/>
            <w:tcBorders>
              <w:top w:val="single" w:color="000000" w:sz="4" w:space="0"/>
              <w:left w:val="single" w:color="000000" w:sz="4" w:space="0"/>
              <w:right w:val="single" w:color="000000" w:sz="4" w:space="0"/>
            </w:tcBorders>
            <w:shd w:val="clear" w:color="auto" w:fill="auto"/>
            <w:vAlign w:val="center"/>
          </w:tcPr>
          <w:p w14:paraId="41F7D26B">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CB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8000人</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4CB9">
            <w:pPr>
              <w:jc w:val="center"/>
              <w:rPr>
                <w:rFonts w:hint="eastAsia" w:ascii="宋体" w:hAnsi="宋体" w:eastAsia="宋体" w:cs="宋体"/>
                <w:i w:val="0"/>
                <w:color w:val="000000"/>
                <w:sz w:val="18"/>
                <w:szCs w:val="18"/>
                <w:u w:val="none"/>
              </w:rPr>
            </w:pPr>
          </w:p>
        </w:tc>
      </w:tr>
      <w:tr w14:paraId="2CCDF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2235F11">
            <w:pPr>
              <w:jc w:val="center"/>
              <w:rPr>
                <w:rFonts w:hint="eastAsia" w:ascii="宋体" w:hAnsi="宋体" w:eastAsia="宋体" w:cs="宋体"/>
                <w:i w:val="0"/>
                <w:color w:val="000000"/>
                <w:sz w:val="18"/>
                <w:szCs w:val="18"/>
                <w:u w:val="none"/>
              </w:rPr>
            </w:pPr>
          </w:p>
        </w:tc>
        <w:tc>
          <w:tcPr>
            <w:tcW w:w="1163" w:type="dxa"/>
            <w:vMerge w:val="continue"/>
            <w:tcBorders>
              <w:top w:val="single" w:color="000000" w:sz="4" w:space="0"/>
              <w:left w:val="single" w:color="000000" w:sz="4" w:space="0"/>
              <w:right w:val="single" w:color="000000" w:sz="4" w:space="0"/>
            </w:tcBorders>
            <w:shd w:val="clear" w:color="auto" w:fill="auto"/>
            <w:vAlign w:val="center"/>
          </w:tcPr>
          <w:p w14:paraId="044B302F">
            <w:pPr>
              <w:jc w:val="center"/>
              <w:rPr>
                <w:rFonts w:hint="eastAsia" w:ascii="宋体" w:hAnsi="宋体" w:eastAsia="宋体" w:cs="宋体"/>
                <w:i w:val="0"/>
                <w:color w:val="000000"/>
                <w:sz w:val="18"/>
                <w:szCs w:val="18"/>
                <w:u w:val="none"/>
              </w:rPr>
            </w:pPr>
          </w:p>
        </w:tc>
        <w:tc>
          <w:tcPr>
            <w:tcW w:w="1051" w:type="dxa"/>
            <w:tcBorders>
              <w:top w:val="single" w:color="000000" w:sz="4" w:space="0"/>
              <w:left w:val="single" w:color="000000" w:sz="4" w:space="0"/>
              <w:right w:val="single" w:color="000000" w:sz="4" w:space="0"/>
            </w:tcBorders>
            <w:shd w:val="clear" w:color="auto" w:fill="auto"/>
            <w:vAlign w:val="center"/>
          </w:tcPr>
          <w:p w14:paraId="770DB8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58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奖励资金补助合规率</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3B86">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DD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437C">
            <w:pPr>
              <w:jc w:val="center"/>
              <w:rPr>
                <w:rFonts w:hint="eastAsia" w:ascii="宋体" w:hAnsi="宋体" w:eastAsia="宋体" w:cs="宋体"/>
                <w:i w:val="0"/>
                <w:color w:val="000000"/>
                <w:sz w:val="18"/>
                <w:szCs w:val="18"/>
                <w:u w:val="none"/>
              </w:rPr>
            </w:pPr>
          </w:p>
        </w:tc>
      </w:tr>
      <w:tr w14:paraId="69F4E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2"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FA83DE3">
            <w:pPr>
              <w:jc w:val="center"/>
              <w:rPr>
                <w:rFonts w:hint="eastAsia" w:ascii="宋体" w:hAnsi="宋体" w:eastAsia="宋体" w:cs="宋体"/>
                <w:i w:val="0"/>
                <w:color w:val="000000"/>
                <w:sz w:val="18"/>
                <w:szCs w:val="18"/>
                <w:u w:val="none"/>
              </w:rPr>
            </w:pPr>
          </w:p>
        </w:tc>
        <w:tc>
          <w:tcPr>
            <w:tcW w:w="1163" w:type="dxa"/>
            <w:vMerge w:val="continue"/>
            <w:tcBorders>
              <w:top w:val="single" w:color="000000" w:sz="4" w:space="0"/>
              <w:left w:val="single" w:color="000000" w:sz="4" w:space="0"/>
              <w:right w:val="single" w:color="000000" w:sz="4" w:space="0"/>
            </w:tcBorders>
            <w:shd w:val="clear" w:color="auto" w:fill="auto"/>
            <w:vAlign w:val="center"/>
          </w:tcPr>
          <w:p w14:paraId="1F54E02C">
            <w:pPr>
              <w:jc w:val="center"/>
              <w:rPr>
                <w:rFonts w:hint="eastAsia" w:ascii="宋体" w:hAnsi="宋体" w:eastAsia="宋体" w:cs="宋体"/>
                <w:i w:val="0"/>
                <w:color w:val="000000"/>
                <w:sz w:val="18"/>
                <w:szCs w:val="18"/>
                <w:u w:val="none"/>
              </w:rPr>
            </w:pPr>
          </w:p>
        </w:tc>
        <w:tc>
          <w:tcPr>
            <w:tcW w:w="1051" w:type="dxa"/>
            <w:tcBorders>
              <w:top w:val="single" w:color="000000" w:sz="4" w:space="0"/>
              <w:left w:val="single" w:color="000000" w:sz="4" w:space="0"/>
              <w:right w:val="single" w:color="000000" w:sz="4" w:space="0"/>
            </w:tcBorders>
            <w:shd w:val="clear" w:color="auto" w:fill="auto"/>
            <w:vAlign w:val="center"/>
          </w:tcPr>
          <w:p w14:paraId="17C14C68">
            <w:pPr>
              <w:jc w:val="center"/>
              <w:rPr>
                <w:rFonts w:hint="eastAsia" w:ascii="宋体" w:hAnsi="宋体" w:eastAsia="宋体" w:cs="宋体"/>
                <w:i w:val="0"/>
                <w:color w:val="000000"/>
                <w:sz w:val="18"/>
                <w:szCs w:val="18"/>
                <w:u w:val="none"/>
              </w:rPr>
            </w:pP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F88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资金发放完成比例</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1616">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85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E86B">
            <w:pPr>
              <w:jc w:val="center"/>
              <w:rPr>
                <w:rFonts w:hint="eastAsia" w:ascii="宋体" w:hAnsi="宋体" w:eastAsia="宋体" w:cs="宋体"/>
                <w:i w:val="0"/>
                <w:color w:val="000000"/>
                <w:sz w:val="18"/>
                <w:szCs w:val="18"/>
                <w:u w:val="none"/>
              </w:rPr>
            </w:pPr>
          </w:p>
        </w:tc>
      </w:tr>
      <w:tr w14:paraId="4C4FD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2"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329EF2B">
            <w:pPr>
              <w:jc w:val="center"/>
              <w:rPr>
                <w:rFonts w:hint="eastAsia" w:ascii="宋体" w:hAnsi="宋体" w:eastAsia="宋体" w:cs="宋体"/>
                <w:i w:val="0"/>
                <w:color w:val="000000"/>
                <w:sz w:val="18"/>
                <w:szCs w:val="18"/>
                <w:u w:val="none"/>
              </w:rPr>
            </w:pPr>
          </w:p>
        </w:tc>
        <w:tc>
          <w:tcPr>
            <w:tcW w:w="1163" w:type="dxa"/>
            <w:vMerge w:val="continue"/>
            <w:tcBorders>
              <w:top w:val="single" w:color="000000" w:sz="4" w:space="0"/>
              <w:left w:val="single" w:color="000000" w:sz="4" w:space="0"/>
              <w:right w:val="single" w:color="000000" w:sz="4" w:space="0"/>
            </w:tcBorders>
            <w:shd w:val="clear" w:color="auto" w:fill="auto"/>
            <w:vAlign w:val="center"/>
          </w:tcPr>
          <w:p w14:paraId="7273B1E8">
            <w:pPr>
              <w:jc w:val="center"/>
              <w:rPr>
                <w:rFonts w:hint="eastAsia" w:ascii="宋体" w:hAnsi="宋体" w:eastAsia="宋体" w:cs="宋体"/>
                <w:i w:val="0"/>
                <w:color w:val="000000"/>
                <w:sz w:val="18"/>
                <w:szCs w:val="18"/>
                <w:u w:val="none"/>
              </w:rPr>
            </w:pPr>
          </w:p>
        </w:tc>
        <w:tc>
          <w:tcPr>
            <w:tcW w:w="1051" w:type="dxa"/>
            <w:tcBorders>
              <w:top w:val="single" w:color="000000" w:sz="4" w:space="0"/>
              <w:left w:val="single" w:color="000000" w:sz="4" w:space="0"/>
              <w:right w:val="single" w:color="000000" w:sz="4" w:space="0"/>
            </w:tcBorders>
            <w:shd w:val="clear" w:color="auto" w:fill="auto"/>
            <w:vAlign w:val="center"/>
          </w:tcPr>
          <w:p w14:paraId="679373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53B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奖励资金补助及时率</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5BE7">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6DE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FD8F">
            <w:pPr>
              <w:jc w:val="center"/>
              <w:rPr>
                <w:rFonts w:hint="eastAsia" w:ascii="宋体" w:hAnsi="宋体" w:eastAsia="宋体" w:cs="宋体"/>
                <w:i w:val="0"/>
                <w:color w:val="000000"/>
                <w:sz w:val="18"/>
                <w:szCs w:val="18"/>
                <w:u w:val="none"/>
              </w:rPr>
            </w:pPr>
          </w:p>
        </w:tc>
      </w:tr>
      <w:tr w14:paraId="642B7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3"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A46B971">
            <w:pPr>
              <w:jc w:val="center"/>
              <w:rPr>
                <w:rFonts w:hint="eastAsia" w:ascii="宋体" w:hAnsi="宋体" w:eastAsia="宋体" w:cs="宋体"/>
                <w:i w:val="0"/>
                <w:color w:val="000000"/>
                <w:sz w:val="18"/>
                <w:szCs w:val="18"/>
                <w:u w:val="none"/>
              </w:rPr>
            </w:pPr>
          </w:p>
        </w:tc>
        <w:tc>
          <w:tcPr>
            <w:tcW w:w="1163" w:type="dxa"/>
            <w:tcBorders>
              <w:left w:val="single" w:color="000000" w:sz="4" w:space="0"/>
              <w:right w:val="single" w:color="000000" w:sz="4" w:space="0"/>
            </w:tcBorders>
            <w:shd w:val="clear" w:color="auto" w:fill="auto"/>
            <w:vAlign w:val="center"/>
          </w:tcPr>
          <w:p w14:paraId="697BCFD1">
            <w:pPr>
              <w:jc w:val="center"/>
              <w:rPr>
                <w:rFonts w:hint="eastAsia" w:ascii="宋体" w:hAnsi="宋体" w:eastAsia="宋体" w:cs="宋体"/>
                <w:i w:val="0"/>
                <w:color w:val="000000"/>
                <w:sz w:val="18"/>
                <w:szCs w:val="18"/>
                <w:u w:val="none"/>
              </w:rPr>
            </w:pPr>
          </w:p>
        </w:tc>
        <w:tc>
          <w:tcPr>
            <w:tcW w:w="1051" w:type="dxa"/>
            <w:tcBorders>
              <w:top w:val="single" w:color="000000" w:sz="4" w:space="0"/>
              <w:left w:val="single" w:color="000000" w:sz="4" w:space="0"/>
              <w:right w:val="single" w:color="000000" w:sz="4" w:space="0"/>
            </w:tcBorders>
            <w:shd w:val="clear" w:color="auto" w:fill="auto"/>
            <w:vAlign w:val="center"/>
          </w:tcPr>
          <w:p w14:paraId="70918D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03" w:type="dxa"/>
            <w:tcBorders>
              <w:top w:val="single" w:color="000000" w:sz="4" w:space="0"/>
              <w:left w:val="single" w:color="000000" w:sz="4" w:space="0"/>
              <w:right w:val="single" w:color="000000" w:sz="4" w:space="0"/>
            </w:tcBorders>
            <w:shd w:val="clear" w:color="auto" w:fill="auto"/>
            <w:vAlign w:val="center"/>
          </w:tcPr>
          <w:p w14:paraId="5748A4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促进优生优育</w:t>
            </w:r>
          </w:p>
        </w:tc>
        <w:tc>
          <w:tcPr>
            <w:tcW w:w="1491" w:type="dxa"/>
            <w:tcBorders>
              <w:top w:val="single" w:color="000000" w:sz="4" w:space="0"/>
              <w:left w:val="single" w:color="000000" w:sz="4" w:space="0"/>
              <w:right w:val="single" w:color="000000" w:sz="4" w:space="0"/>
            </w:tcBorders>
            <w:shd w:val="clear" w:color="auto" w:fill="auto"/>
            <w:vAlign w:val="center"/>
          </w:tcPr>
          <w:p w14:paraId="5BF8C6A9">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45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w:t>
            </w:r>
          </w:p>
        </w:tc>
        <w:tc>
          <w:tcPr>
            <w:tcW w:w="1741" w:type="dxa"/>
            <w:tcBorders>
              <w:top w:val="single" w:color="000000" w:sz="4" w:space="0"/>
              <w:left w:val="single" w:color="000000" w:sz="4" w:space="0"/>
              <w:right w:val="single" w:color="000000" w:sz="4" w:space="0"/>
            </w:tcBorders>
            <w:shd w:val="clear" w:color="auto" w:fill="auto"/>
            <w:vAlign w:val="center"/>
          </w:tcPr>
          <w:p w14:paraId="090A69F4">
            <w:pPr>
              <w:jc w:val="center"/>
              <w:rPr>
                <w:rFonts w:hint="eastAsia" w:ascii="宋体" w:hAnsi="宋体" w:eastAsia="宋体" w:cs="宋体"/>
                <w:i w:val="0"/>
                <w:color w:val="000000"/>
                <w:sz w:val="18"/>
                <w:szCs w:val="18"/>
                <w:u w:val="none"/>
              </w:rPr>
            </w:pPr>
          </w:p>
        </w:tc>
      </w:tr>
      <w:tr w14:paraId="6F9C6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3" w:hRule="atLeast"/>
        </w:trPr>
        <w:tc>
          <w:tcPr>
            <w:tcW w:w="397"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1922084">
            <w:pPr>
              <w:jc w:val="center"/>
              <w:rPr>
                <w:rFonts w:hint="eastAsia" w:ascii="宋体" w:hAnsi="宋体" w:eastAsia="宋体" w:cs="宋体"/>
                <w:i w:val="0"/>
                <w:color w:val="000000"/>
                <w:sz w:val="18"/>
                <w:szCs w:val="18"/>
                <w:u w:val="none"/>
              </w:rPr>
            </w:pP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95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051" w:type="dxa"/>
            <w:tcBorders>
              <w:top w:val="single" w:color="000000" w:sz="4" w:space="0"/>
              <w:left w:val="single" w:color="000000" w:sz="4" w:space="0"/>
              <w:right w:val="single" w:color="000000" w:sz="4" w:space="0"/>
            </w:tcBorders>
            <w:shd w:val="clear" w:color="auto" w:fill="auto"/>
            <w:vAlign w:val="center"/>
          </w:tcPr>
          <w:p w14:paraId="07DDE4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703" w:type="dxa"/>
            <w:tcBorders>
              <w:top w:val="single" w:color="000000" w:sz="4" w:space="0"/>
              <w:left w:val="single" w:color="000000" w:sz="4" w:space="0"/>
              <w:right w:val="single" w:color="000000" w:sz="4" w:space="0"/>
            </w:tcBorders>
            <w:shd w:val="clear" w:color="auto" w:fill="auto"/>
            <w:vAlign w:val="center"/>
          </w:tcPr>
          <w:p w14:paraId="671931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受奖励对象满意度</w:t>
            </w:r>
          </w:p>
        </w:tc>
        <w:tc>
          <w:tcPr>
            <w:tcW w:w="1491" w:type="dxa"/>
            <w:tcBorders>
              <w:top w:val="single" w:color="000000" w:sz="4" w:space="0"/>
              <w:left w:val="single" w:color="000000" w:sz="4" w:space="0"/>
              <w:right w:val="single" w:color="000000" w:sz="4" w:space="0"/>
            </w:tcBorders>
            <w:shd w:val="clear" w:color="auto" w:fill="auto"/>
            <w:vAlign w:val="center"/>
          </w:tcPr>
          <w:p w14:paraId="44C26CE6">
            <w:pPr>
              <w:jc w:val="center"/>
              <w:rPr>
                <w:rFonts w:hint="eastAsia" w:ascii="宋体" w:hAnsi="宋体" w:eastAsia="宋体" w:cs="宋体"/>
                <w:i w:val="0"/>
                <w:color w:val="000000"/>
                <w:sz w:val="18"/>
                <w:szCs w:val="18"/>
                <w:u w:val="none"/>
              </w:rPr>
            </w:pPr>
          </w:p>
        </w:tc>
        <w:tc>
          <w:tcPr>
            <w:tcW w:w="1774" w:type="dxa"/>
            <w:tcBorders>
              <w:top w:val="single" w:color="000000" w:sz="4" w:space="0"/>
              <w:left w:val="single" w:color="000000" w:sz="4" w:space="0"/>
              <w:right w:val="single" w:color="000000" w:sz="4" w:space="0"/>
            </w:tcBorders>
            <w:shd w:val="clear" w:color="auto" w:fill="auto"/>
            <w:vAlign w:val="center"/>
          </w:tcPr>
          <w:p w14:paraId="0781E9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741" w:type="dxa"/>
            <w:tcBorders>
              <w:top w:val="single" w:color="000000" w:sz="4" w:space="0"/>
              <w:left w:val="single" w:color="000000" w:sz="4" w:space="0"/>
              <w:right w:val="single" w:color="000000" w:sz="4" w:space="0"/>
            </w:tcBorders>
            <w:shd w:val="clear" w:color="auto" w:fill="auto"/>
            <w:vAlign w:val="center"/>
          </w:tcPr>
          <w:p w14:paraId="2A183E79">
            <w:pPr>
              <w:jc w:val="center"/>
              <w:rPr>
                <w:rFonts w:hint="eastAsia" w:ascii="宋体" w:hAnsi="宋体" w:eastAsia="宋体" w:cs="宋体"/>
                <w:i w:val="0"/>
                <w:color w:val="000000"/>
                <w:sz w:val="18"/>
                <w:szCs w:val="18"/>
                <w:u w:val="none"/>
              </w:rPr>
            </w:pPr>
          </w:p>
        </w:tc>
      </w:tr>
      <w:tr w14:paraId="0846A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6" w:hRule="atLeast"/>
        </w:trPr>
        <w:tc>
          <w:tcPr>
            <w:tcW w:w="43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6E39E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财政资金管理科室（盖章）</w:t>
            </w:r>
          </w:p>
          <w:p w14:paraId="6DF2E0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    月     日</w:t>
            </w:r>
          </w:p>
        </w:tc>
        <w:tc>
          <w:tcPr>
            <w:tcW w:w="50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038C2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财政绩效管理科室（盖章）</w:t>
            </w:r>
          </w:p>
          <w:p w14:paraId="6A20EE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    月     日</w:t>
            </w:r>
          </w:p>
        </w:tc>
      </w:tr>
    </w:tbl>
    <w:p w14:paraId="2404D5AA">
      <w:pPr>
        <w:pStyle w:val="6"/>
        <w:keepNext w:val="0"/>
        <w:keepLines w:val="0"/>
        <w:pageBreakBefore w:val="0"/>
        <w:widowControl w:val="0"/>
        <w:numPr>
          <w:ilvl w:val="0"/>
          <w:numId w:val="0"/>
        </w:numPr>
        <w:kinsoku/>
        <w:wordWrap/>
        <w:overflowPunct/>
        <w:topLinePunct w:val="0"/>
        <w:autoSpaceDE/>
        <w:autoSpaceDN/>
        <w:bidi w:val="0"/>
        <w:spacing w:line="460" w:lineRule="atLeast"/>
        <w:jc w:val="both"/>
        <w:textAlignment w:val="auto"/>
        <w:rPr>
          <w:rFonts w:hint="eastAsia" w:ascii="仿宋_GB2312" w:eastAsia="仿宋_GB2312"/>
          <w:b/>
          <w:bCs/>
          <w:color w:val="000000"/>
          <w:sz w:val="36"/>
          <w:szCs w:val="36"/>
          <w:highlight w:val="none"/>
          <w:lang w:val="en-US" w:eastAsia="zh-CN"/>
        </w:rPr>
      </w:pPr>
    </w:p>
    <w:p w14:paraId="0979310F">
      <w:pPr>
        <w:pStyle w:val="6"/>
        <w:keepNext w:val="0"/>
        <w:keepLines w:val="0"/>
        <w:pageBreakBefore w:val="0"/>
        <w:widowControl w:val="0"/>
        <w:numPr>
          <w:ilvl w:val="0"/>
          <w:numId w:val="0"/>
        </w:numPr>
        <w:kinsoku/>
        <w:wordWrap/>
        <w:overflowPunct/>
        <w:topLinePunct w:val="0"/>
        <w:autoSpaceDE/>
        <w:autoSpaceDN/>
        <w:bidi w:val="0"/>
        <w:spacing w:line="460" w:lineRule="atLeast"/>
        <w:ind w:left="0" w:leftChars="0" w:firstLine="640"/>
        <w:jc w:val="both"/>
        <w:textAlignment w:val="auto"/>
        <w:rPr>
          <w:rFonts w:hint="eastAsia" w:ascii="仿宋_GB2312" w:eastAsia="仿宋_GB2312"/>
          <w:b/>
          <w:bCs/>
          <w:color w:val="000000"/>
          <w:sz w:val="36"/>
          <w:szCs w:val="36"/>
          <w:highlight w:val="none"/>
          <w:lang w:val="en-US" w:eastAsia="zh-CN"/>
        </w:rPr>
      </w:pPr>
    </w:p>
    <w:tbl>
      <w:tblPr>
        <w:tblStyle w:val="3"/>
        <w:tblW w:w="9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85"/>
        <w:gridCol w:w="1132"/>
        <w:gridCol w:w="1021"/>
        <w:gridCol w:w="1668"/>
        <w:gridCol w:w="1452"/>
        <w:gridCol w:w="1726"/>
        <w:gridCol w:w="1696"/>
      </w:tblGrid>
      <w:tr w14:paraId="4336C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0" w:hRule="atLeast"/>
        </w:trPr>
        <w:tc>
          <w:tcPr>
            <w:tcW w:w="9080" w:type="dxa"/>
            <w:gridSpan w:val="7"/>
            <w:shd w:val="clear" w:color="auto" w:fill="auto"/>
            <w:vAlign w:val="center"/>
          </w:tcPr>
          <w:p w14:paraId="36FFB572">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项目支出绩效目标批复表</w:t>
            </w:r>
          </w:p>
        </w:tc>
      </w:tr>
      <w:tr w14:paraId="656B6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9" w:hRule="atLeast"/>
        </w:trPr>
        <w:tc>
          <w:tcPr>
            <w:tcW w:w="9080" w:type="dxa"/>
            <w:gridSpan w:val="7"/>
            <w:shd w:val="clear" w:color="auto" w:fill="auto"/>
            <w:vAlign w:val="center"/>
          </w:tcPr>
          <w:p w14:paraId="6538D3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14:paraId="19868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9" w:hRule="atLeast"/>
        </w:trPr>
        <w:tc>
          <w:tcPr>
            <w:tcW w:w="9080" w:type="dxa"/>
            <w:gridSpan w:val="7"/>
            <w:tcBorders>
              <w:bottom w:val="single" w:color="000000" w:sz="4" w:space="0"/>
            </w:tcBorders>
            <w:shd w:val="clear" w:color="auto" w:fill="auto"/>
            <w:vAlign w:val="center"/>
          </w:tcPr>
          <w:p w14:paraId="6EC85995">
            <w:pPr>
              <w:jc w:val="left"/>
              <w:rPr>
                <w:rFonts w:hint="eastAsia" w:ascii="宋体" w:hAnsi="宋体" w:eastAsia="宋体" w:cs="宋体"/>
                <w:i w:val="0"/>
                <w:color w:val="000000"/>
                <w:sz w:val="22"/>
                <w:szCs w:val="22"/>
                <w:u w:val="none"/>
              </w:rPr>
            </w:pPr>
          </w:p>
        </w:tc>
      </w:tr>
      <w:tr w14:paraId="74DB2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7" w:hRule="atLeast"/>
        </w:trPr>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500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6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4D56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血防经费</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6C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项目负责人</w:t>
            </w:r>
          </w:p>
        </w:tc>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6FEED">
            <w:pPr>
              <w:jc w:val="center"/>
              <w:rPr>
                <w:rFonts w:hint="eastAsia" w:ascii="宋体" w:hAnsi="宋体" w:eastAsia="宋体" w:cs="宋体"/>
                <w:i w:val="0"/>
                <w:color w:val="000000"/>
                <w:sz w:val="18"/>
                <w:szCs w:val="18"/>
                <w:u w:val="none"/>
              </w:rPr>
            </w:pPr>
          </w:p>
        </w:tc>
      </w:tr>
      <w:tr w14:paraId="3E32F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9" w:hRule="atLeast"/>
        </w:trPr>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37C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项目金额</w:t>
            </w:r>
          </w:p>
        </w:tc>
        <w:tc>
          <w:tcPr>
            <w:tcW w:w="26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0EB0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53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其中：当年市级财政资金</w:t>
            </w:r>
          </w:p>
        </w:tc>
        <w:tc>
          <w:tcPr>
            <w:tcW w:w="34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1757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40万</w:t>
            </w:r>
          </w:p>
        </w:tc>
      </w:tr>
      <w:tr w14:paraId="10091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7" w:hRule="atLeast"/>
        </w:trPr>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012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项目主管部门</w:t>
            </w:r>
          </w:p>
        </w:tc>
        <w:tc>
          <w:tcPr>
            <w:tcW w:w="26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3E4C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黄石市卫生健康委员会</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56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4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86D5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黄石市卫生健康委员会</w:t>
            </w:r>
          </w:p>
        </w:tc>
      </w:tr>
      <w:tr w14:paraId="77051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7" w:hRule="atLeast"/>
        </w:trPr>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1D7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项目属性</w:t>
            </w:r>
          </w:p>
        </w:tc>
        <w:tc>
          <w:tcPr>
            <w:tcW w:w="26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6352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持续性项目■    新增性项目口</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F7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项目期</w:t>
            </w:r>
          </w:p>
        </w:tc>
        <w:tc>
          <w:tcPr>
            <w:tcW w:w="34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E2A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w:t>
            </w:r>
          </w:p>
        </w:tc>
      </w:tr>
      <w:tr w14:paraId="2F092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9" w:hRule="atLeast"/>
        </w:trPr>
        <w:tc>
          <w:tcPr>
            <w:tcW w:w="15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EB1A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年度绩效目标    （文字）</w:t>
            </w:r>
          </w:p>
        </w:tc>
        <w:tc>
          <w:tcPr>
            <w:tcW w:w="75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E49EA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全市以行政村为单位人群感染率控制在1%以下，查不到当地新感染的血吸虫病病人。</w:t>
            </w:r>
          </w:p>
        </w:tc>
      </w:tr>
      <w:tr w14:paraId="394E6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6" w:hRule="atLeast"/>
        </w:trPr>
        <w:tc>
          <w:tcPr>
            <w:tcW w:w="38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349AF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BF0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01AD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1CA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31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90E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A27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指标标准或依据</w:t>
            </w:r>
          </w:p>
        </w:tc>
      </w:tr>
      <w:tr w14:paraId="4A54E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9"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F7DBBF1">
            <w:pPr>
              <w:jc w:val="center"/>
              <w:rPr>
                <w:rFonts w:hint="eastAsia" w:ascii="宋体" w:hAnsi="宋体" w:eastAsia="宋体" w:cs="宋体"/>
                <w:i w:val="0"/>
                <w:color w:val="000000"/>
                <w:sz w:val="18"/>
                <w:szCs w:val="18"/>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8DCC9">
            <w:pPr>
              <w:jc w:val="center"/>
              <w:rPr>
                <w:rFonts w:hint="eastAsia" w:ascii="宋体" w:hAnsi="宋体" w:eastAsia="宋体" w:cs="宋体"/>
                <w:i w:val="0"/>
                <w:color w:val="000000"/>
                <w:sz w:val="18"/>
                <w:szCs w:val="18"/>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B0C7A">
            <w:pPr>
              <w:jc w:val="center"/>
              <w:rPr>
                <w:rFonts w:hint="eastAsia" w:ascii="宋体" w:hAnsi="宋体" w:eastAsia="宋体" w:cs="宋体"/>
                <w:i w:val="0"/>
                <w:color w:val="000000"/>
                <w:sz w:val="18"/>
                <w:szCs w:val="18"/>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14A02">
            <w:pPr>
              <w:jc w:val="center"/>
              <w:rPr>
                <w:rFonts w:hint="eastAsia" w:ascii="宋体" w:hAnsi="宋体" w:eastAsia="宋体" w:cs="宋体"/>
                <w:i w:val="0"/>
                <w:color w:val="000000"/>
                <w:sz w:val="18"/>
                <w:szCs w:val="18"/>
                <w:u w:val="none"/>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08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2023年实际实现值</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D0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预期2024年实现值</w:t>
            </w:r>
          </w:p>
        </w:tc>
        <w:tc>
          <w:tcPr>
            <w:tcW w:w="1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6D3A9">
            <w:pPr>
              <w:jc w:val="center"/>
              <w:rPr>
                <w:rFonts w:hint="eastAsia" w:ascii="宋体" w:hAnsi="宋体" w:eastAsia="宋体" w:cs="宋体"/>
                <w:i w:val="0"/>
                <w:color w:val="000000"/>
                <w:sz w:val="18"/>
                <w:szCs w:val="18"/>
                <w:u w:val="none"/>
              </w:rPr>
            </w:pPr>
          </w:p>
        </w:tc>
      </w:tr>
      <w:tr w14:paraId="0BEC1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2"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747EC87">
            <w:pPr>
              <w:jc w:val="center"/>
              <w:rPr>
                <w:rFonts w:hint="eastAsia" w:ascii="宋体" w:hAnsi="宋体" w:eastAsia="宋体" w:cs="宋体"/>
                <w:i w:val="0"/>
                <w:color w:val="000000"/>
                <w:sz w:val="18"/>
                <w:szCs w:val="18"/>
                <w:u w:val="none"/>
              </w:rPr>
            </w:pPr>
          </w:p>
        </w:tc>
        <w:tc>
          <w:tcPr>
            <w:tcW w:w="1132" w:type="dxa"/>
            <w:vMerge w:val="restart"/>
            <w:tcBorders>
              <w:top w:val="single" w:color="000000" w:sz="4" w:space="0"/>
              <w:left w:val="single" w:color="000000" w:sz="4" w:space="0"/>
              <w:right w:val="single" w:color="000000" w:sz="4" w:space="0"/>
            </w:tcBorders>
            <w:shd w:val="clear" w:color="auto" w:fill="auto"/>
            <w:vAlign w:val="center"/>
          </w:tcPr>
          <w:p w14:paraId="36F6B6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021" w:type="dxa"/>
            <w:vMerge w:val="restart"/>
            <w:tcBorders>
              <w:top w:val="single" w:color="000000" w:sz="4" w:space="0"/>
              <w:left w:val="single" w:color="000000" w:sz="4" w:space="0"/>
              <w:right w:val="single" w:color="000000" w:sz="4" w:space="0"/>
            </w:tcBorders>
            <w:shd w:val="clear" w:color="auto" w:fill="auto"/>
            <w:vAlign w:val="center"/>
          </w:tcPr>
          <w:p w14:paraId="246389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668" w:type="dxa"/>
            <w:tcBorders>
              <w:top w:val="single" w:color="000000" w:sz="4" w:space="0"/>
              <w:left w:val="single" w:color="000000" w:sz="4" w:space="0"/>
              <w:right w:val="single" w:color="000000" w:sz="4" w:space="0"/>
            </w:tcBorders>
            <w:shd w:val="clear" w:color="auto" w:fill="auto"/>
            <w:vAlign w:val="center"/>
          </w:tcPr>
          <w:p w14:paraId="097D7D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查螺</w:t>
            </w:r>
          </w:p>
        </w:tc>
        <w:tc>
          <w:tcPr>
            <w:tcW w:w="1452" w:type="dxa"/>
            <w:tcBorders>
              <w:top w:val="single" w:color="000000" w:sz="4" w:space="0"/>
              <w:left w:val="single" w:color="000000" w:sz="4" w:space="0"/>
              <w:right w:val="single" w:color="000000" w:sz="4" w:space="0"/>
            </w:tcBorders>
            <w:shd w:val="clear" w:color="auto" w:fill="auto"/>
            <w:vAlign w:val="center"/>
          </w:tcPr>
          <w:p w14:paraId="71115DD3">
            <w:pPr>
              <w:jc w:val="center"/>
              <w:rPr>
                <w:rFonts w:hint="eastAsia" w:ascii="宋体" w:hAnsi="宋体" w:eastAsia="宋体" w:cs="宋体"/>
                <w:i w:val="0"/>
                <w:color w:val="000000"/>
                <w:sz w:val="18"/>
                <w:szCs w:val="1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AA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5940万㎡</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C5B1">
            <w:pPr>
              <w:jc w:val="center"/>
              <w:rPr>
                <w:rFonts w:hint="eastAsia" w:ascii="宋体" w:hAnsi="宋体" w:eastAsia="宋体" w:cs="宋体"/>
                <w:i w:val="0"/>
                <w:color w:val="000000"/>
                <w:sz w:val="18"/>
                <w:szCs w:val="18"/>
                <w:u w:val="none"/>
              </w:rPr>
            </w:pPr>
          </w:p>
        </w:tc>
      </w:tr>
      <w:tr w14:paraId="35336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8"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4EAC0B4">
            <w:pPr>
              <w:jc w:val="center"/>
              <w:rPr>
                <w:rFonts w:hint="eastAsia" w:ascii="宋体" w:hAnsi="宋体" w:eastAsia="宋体" w:cs="宋体"/>
                <w:i w:val="0"/>
                <w:color w:val="000000"/>
                <w:sz w:val="18"/>
                <w:szCs w:val="18"/>
                <w:u w:val="none"/>
              </w:rPr>
            </w:pPr>
          </w:p>
        </w:tc>
        <w:tc>
          <w:tcPr>
            <w:tcW w:w="1132" w:type="dxa"/>
            <w:vMerge w:val="continue"/>
            <w:tcBorders>
              <w:top w:val="single" w:color="000000" w:sz="4" w:space="0"/>
              <w:left w:val="single" w:color="000000" w:sz="4" w:space="0"/>
              <w:right w:val="single" w:color="000000" w:sz="4" w:space="0"/>
            </w:tcBorders>
            <w:shd w:val="clear" w:color="auto" w:fill="auto"/>
            <w:vAlign w:val="center"/>
          </w:tcPr>
          <w:p w14:paraId="3A04CC82">
            <w:pPr>
              <w:jc w:val="center"/>
              <w:rPr>
                <w:rFonts w:hint="eastAsia" w:ascii="宋体" w:hAnsi="宋体" w:eastAsia="宋体" w:cs="宋体"/>
                <w:i w:val="0"/>
                <w:color w:val="000000"/>
                <w:sz w:val="18"/>
                <w:szCs w:val="18"/>
                <w:u w:val="none"/>
              </w:rPr>
            </w:pPr>
          </w:p>
        </w:tc>
        <w:tc>
          <w:tcPr>
            <w:tcW w:w="1021" w:type="dxa"/>
            <w:vMerge w:val="continue"/>
            <w:tcBorders>
              <w:top w:val="single" w:color="000000" w:sz="4" w:space="0"/>
              <w:left w:val="single" w:color="000000" w:sz="4" w:space="0"/>
              <w:right w:val="single" w:color="000000" w:sz="4" w:space="0"/>
            </w:tcBorders>
            <w:shd w:val="clear" w:color="auto" w:fill="auto"/>
            <w:vAlign w:val="center"/>
          </w:tcPr>
          <w:p w14:paraId="0808862A">
            <w:pPr>
              <w:jc w:val="center"/>
              <w:rPr>
                <w:rFonts w:hint="eastAsia" w:ascii="宋体" w:hAnsi="宋体" w:eastAsia="宋体" w:cs="宋体"/>
                <w:i w:val="0"/>
                <w:color w:val="000000"/>
                <w:sz w:val="18"/>
                <w:szCs w:val="18"/>
                <w:u w:val="none"/>
              </w:rPr>
            </w:pPr>
          </w:p>
        </w:tc>
        <w:tc>
          <w:tcPr>
            <w:tcW w:w="1668" w:type="dxa"/>
            <w:tcBorders>
              <w:top w:val="single" w:color="000000" w:sz="4" w:space="0"/>
              <w:left w:val="single" w:color="000000" w:sz="4" w:space="0"/>
              <w:right w:val="single" w:color="000000" w:sz="4" w:space="0"/>
            </w:tcBorders>
            <w:shd w:val="clear" w:color="auto" w:fill="auto"/>
            <w:vAlign w:val="center"/>
          </w:tcPr>
          <w:p w14:paraId="4F71A4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药物灭螺</w:t>
            </w:r>
          </w:p>
        </w:tc>
        <w:tc>
          <w:tcPr>
            <w:tcW w:w="1452" w:type="dxa"/>
            <w:tcBorders>
              <w:top w:val="single" w:color="000000" w:sz="4" w:space="0"/>
              <w:left w:val="single" w:color="000000" w:sz="4" w:space="0"/>
              <w:right w:val="single" w:color="000000" w:sz="4" w:space="0"/>
            </w:tcBorders>
            <w:shd w:val="clear" w:color="auto" w:fill="auto"/>
            <w:vAlign w:val="center"/>
          </w:tcPr>
          <w:p w14:paraId="23C1B35B">
            <w:pPr>
              <w:jc w:val="center"/>
              <w:rPr>
                <w:rFonts w:hint="eastAsia" w:ascii="宋体" w:hAnsi="宋体" w:eastAsia="宋体" w:cs="宋体"/>
                <w:i w:val="0"/>
                <w:color w:val="000000"/>
                <w:sz w:val="18"/>
                <w:szCs w:val="1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0FA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1805万㎡</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6647">
            <w:pPr>
              <w:jc w:val="center"/>
              <w:rPr>
                <w:rFonts w:hint="eastAsia" w:ascii="宋体" w:hAnsi="宋体" w:eastAsia="宋体" w:cs="宋体"/>
                <w:i w:val="0"/>
                <w:color w:val="000000"/>
                <w:sz w:val="18"/>
                <w:szCs w:val="18"/>
                <w:u w:val="none"/>
              </w:rPr>
            </w:pPr>
          </w:p>
        </w:tc>
      </w:tr>
      <w:tr w14:paraId="377EC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8"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57E8606">
            <w:pPr>
              <w:jc w:val="center"/>
              <w:rPr>
                <w:rFonts w:hint="eastAsia" w:ascii="宋体" w:hAnsi="宋体" w:eastAsia="宋体" w:cs="宋体"/>
                <w:i w:val="0"/>
                <w:color w:val="000000"/>
                <w:sz w:val="18"/>
                <w:szCs w:val="18"/>
                <w:u w:val="none"/>
              </w:rPr>
            </w:pPr>
          </w:p>
        </w:tc>
        <w:tc>
          <w:tcPr>
            <w:tcW w:w="1132" w:type="dxa"/>
            <w:vMerge w:val="continue"/>
            <w:tcBorders>
              <w:top w:val="single" w:color="000000" w:sz="4" w:space="0"/>
              <w:left w:val="single" w:color="000000" w:sz="4" w:space="0"/>
              <w:right w:val="single" w:color="000000" w:sz="4" w:space="0"/>
            </w:tcBorders>
            <w:shd w:val="clear" w:color="auto" w:fill="auto"/>
            <w:vAlign w:val="center"/>
          </w:tcPr>
          <w:p w14:paraId="764255AD">
            <w:pPr>
              <w:jc w:val="center"/>
              <w:rPr>
                <w:rFonts w:hint="eastAsia" w:ascii="宋体" w:hAnsi="宋体" w:eastAsia="宋体" w:cs="宋体"/>
                <w:i w:val="0"/>
                <w:color w:val="000000"/>
                <w:sz w:val="18"/>
                <w:szCs w:val="18"/>
                <w:u w:val="none"/>
              </w:rPr>
            </w:pPr>
          </w:p>
        </w:tc>
        <w:tc>
          <w:tcPr>
            <w:tcW w:w="1021" w:type="dxa"/>
            <w:vMerge w:val="continue"/>
            <w:tcBorders>
              <w:top w:val="single" w:color="000000" w:sz="4" w:space="0"/>
              <w:left w:val="single" w:color="000000" w:sz="4" w:space="0"/>
              <w:right w:val="single" w:color="000000" w:sz="4" w:space="0"/>
            </w:tcBorders>
            <w:shd w:val="clear" w:color="auto" w:fill="auto"/>
            <w:vAlign w:val="center"/>
          </w:tcPr>
          <w:p w14:paraId="75011795">
            <w:pPr>
              <w:jc w:val="center"/>
              <w:rPr>
                <w:rFonts w:hint="eastAsia" w:ascii="宋体" w:hAnsi="宋体" w:eastAsia="宋体" w:cs="宋体"/>
                <w:i w:val="0"/>
                <w:color w:val="000000"/>
                <w:sz w:val="18"/>
                <w:szCs w:val="18"/>
                <w:u w:val="none"/>
              </w:rPr>
            </w:pPr>
          </w:p>
        </w:tc>
        <w:tc>
          <w:tcPr>
            <w:tcW w:w="1668" w:type="dxa"/>
            <w:tcBorders>
              <w:top w:val="single" w:color="000000" w:sz="4" w:space="0"/>
              <w:left w:val="single" w:color="000000" w:sz="4" w:space="0"/>
              <w:right w:val="single" w:color="000000" w:sz="4" w:space="0"/>
            </w:tcBorders>
            <w:shd w:val="clear" w:color="auto" w:fill="auto"/>
            <w:vAlign w:val="center"/>
          </w:tcPr>
          <w:p w14:paraId="35E0D0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人群查病</w:t>
            </w:r>
          </w:p>
        </w:tc>
        <w:tc>
          <w:tcPr>
            <w:tcW w:w="1452" w:type="dxa"/>
            <w:tcBorders>
              <w:top w:val="single" w:color="000000" w:sz="4" w:space="0"/>
              <w:left w:val="single" w:color="000000" w:sz="4" w:space="0"/>
              <w:right w:val="single" w:color="000000" w:sz="4" w:space="0"/>
            </w:tcBorders>
            <w:shd w:val="clear" w:color="auto" w:fill="auto"/>
            <w:vAlign w:val="center"/>
          </w:tcPr>
          <w:p w14:paraId="35B6F68E">
            <w:pPr>
              <w:jc w:val="center"/>
              <w:rPr>
                <w:rFonts w:hint="eastAsia" w:ascii="宋体" w:hAnsi="宋体" w:eastAsia="宋体" w:cs="宋体"/>
                <w:i w:val="0"/>
                <w:color w:val="000000"/>
                <w:sz w:val="18"/>
                <w:szCs w:val="1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C9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28000人次</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643E3">
            <w:pPr>
              <w:jc w:val="center"/>
              <w:rPr>
                <w:rFonts w:hint="eastAsia" w:ascii="宋体" w:hAnsi="宋体" w:eastAsia="宋体" w:cs="宋体"/>
                <w:i w:val="0"/>
                <w:color w:val="000000"/>
                <w:sz w:val="18"/>
                <w:szCs w:val="18"/>
                <w:u w:val="none"/>
              </w:rPr>
            </w:pPr>
          </w:p>
        </w:tc>
      </w:tr>
      <w:tr w14:paraId="4BB8D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8"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7C6F7B9">
            <w:pPr>
              <w:jc w:val="center"/>
              <w:rPr>
                <w:rFonts w:hint="eastAsia" w:ascii="宋体" w:hAnsi="宋体" w:eastAsia="宋体" w:cs="宋体"/>
                <w:i w:val="0"/>
                <w:color w:val="000000"/>
                <w:sz w:val="18"/>
                <w:szCs w:val="18"/>
                <w:u w:val="none"/>
              </w:rPr>
            </w:pPr>
          </w:p>
        </w:tc>
        <w:tc>
          <w:tcPr>
            <w:tcW w:w="1132" w:type="dxa"/>
            <w:vMerge w:val="continue"/>
            <w:tcBorders>
              <w:top w:val="single" w:color="000000" w:sz="4" w:space="0"/>
              <w:left w:val="single" w:color="000000" w:sz="4" w:space="0"/>
              <w:right w:val="single" w:color="000000" w:sz="4" w:space="0"/>
            </w:tcBorders>
            <w:shd w:val="clear" w:color="auto" w:fill="auto"/>
            <w:vAlign w:val="center"/>
          </w:tcPr>
          <w:p w14:paraId="4A496FAE">
            <w:pPr>
              <w:jc w:val="center"/>
              <w:rPr>
                <w:rFonts w:hint="eastAsia" w:ascii="宋体" w:hAnsi="宋体" w:eastAsia="宋体" w:cs="宋体"/>
                <w:i w:val="0"/>
                <w:color w:val="000000"/>
                <w:sz w:val="18"/>
                <w:szCs w:val="18"/>
                <w:u w:val="none"/>
              </w:rPr>
            </w:pPr>
          </w:p>
        </w:tc>
        <w:tc>
          <w:tcPr>
            <w:tcW w:w="1021" w:type="dxa"/>
            <w:vMerge w:val="restart"/>
            <w:tcBorders>
              <w:top w:val="single" w:color="000000" w:sz="4" w:space="0"/>
              <w:left w:val="single" w:color="000000" w:sz="4" w:space="0"/>
              <w:right w:val="single" w:color="000000" w:sz="4" w:space="0"/>
            </w:tcBorders>
            <w:shd w:val="clear" w:color="auto" w:fill="auto"/>
            <w:vAlign w:val="center"/>
          </w:tcPr>
          <w:p w14:paraId="1071FB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76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人群感染率</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11DD">
            <w:pPr>
              <w:jc w:val="center"/>
              <w:rPr>
                <w:rFonts w:hint="eastAsia" w:ascii="宋体" w:hAnsi="宋体" w:eastAsia="宋体" w:cs="宋体"/>
                <w:i w:val="0"/>
                <w:color w:val="000000"/>
                <w:sz w:val="18"/>
                <w:szCs w:val="1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C7F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A8C0">
            <w:pPr>
              <w:jc w:val="center"/>
              <w:rPr>
                <w:rFonts w:hint="eastAsia" w:ascii="宋体" w:hAnsi="宋体" w:eastAsia="宋体" w:cs="宋体"/>
                <w:i w:val="0"/>
                <w:color w:val="000000"/>
                <w:sz w:val="18"/>
                <w:szCs w:val="18"/>
                <w:u w:val="none"/>
              </w:rPr>
            </w:pPr>
          </w:p>
        </w:tc>
      </w:tr>
      <w:tr w14:paraId="46405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9"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7221233">
            <w:pPr>
              <w:jc w:val="center"/>
              <w:rPr>
                <w:rFonts w:hint="eastAsia" w:ascii="宋体" w:hAnsi="宋体" w:eastAsia="宋体" w:cs="宋体"/>
                <w:i w:val="0"/>
                <w:color w:val="000000"/>
                <w:sz w:val="18"/>
                <w:szCs w:val="18"/>
                <w:u w:val="none"/>
              </w:rPr>
            </w:pPr>
          </w:p>
        </w:tc>
        <w:tc>
          <w:tcPr>
            <w:tcW w:w="1132" w:type="dxa"/>
            <w:vMerge w:val="continue"/>
            <w:tcBorders>
              <w:top w:val="single" w:color="000000" w:sz="4" w:space="0"/>
              <w:left w:val="single" w:color="000000" w:sz="4" w:space="0"/>
              <w:right w:val="single" w:color="000000" w:sz="4" w:space="0"/>
            </w:tcBorders>
            <w:shd w:val="clear" w:color="auto" w:fill="auto"/>
            <w:vAlign w:val="center"/>
          </w:tcPr>
          <w:p w14:paraId="71E94B30">
            <w:pPr>
              <w:jc w:val="center"/>
              <w:rPr>
                <w:rFonts w:hint="eastAsia" w:ascii="宋体" w:hAnsi="宋体" w:eastAsia="宋体" w:cs="宋体"/>
                <w:i w:val="0"/>
                <w:color w:val="000000"/>
                <w:sz w:val="18"/>
                <w:szCs w:val="18"/>
                <w:u w:val="none"/>
              </w:rPr>
            </w:pPr>
          </w:p>
        </w:tc>
        <w:tc>
          <w:tcPr>
            <w:tcW w:w="1021" w:type="dxa"/>
            <w:vMerge w:val="continue"/>
            <w:tcBorders>
              <w:top w:val="single" w:color="000000" w:sz="4" w:space="0"/>
              <w:left w:val="single" w:color="000000" w:sz="4" w:space="0"/>
              <w:right w:val="single" w:color="000000" w:sz="4" w:space="0"/>
            </w:tcBorders>
            <w:shd w:val="clear" w:color="auto" w:fill="auto"/>
            <w:vAlign w:val="center"/>
          </w:tcPr>
          <w:p w14:paraId="585C3061">
            <w:pPr>
              <w:jc w:val="center"/>
              <w:rPr>
                <w:rFonts w:hint="eastAsia" w:ascii="宋体" w:hAnsi="宋体" w:eastAsia="宋体" w:cs="宋体"/>
                <w:i w:val="0"/>
                <w:color w:val="000000"/>
                <w:sz w:val="18"/>
                <w:szCs w:val="18"/>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89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当地新感染的血吸虫病病人</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30CA">
            <w:pPr>
              <w:jc w:val="center"/>
              <w:rPr>
                <w:rFonts w:hint="eastAsia" w:ascii="宋体" w:hAnsi="宋体" w:eastAsia="宋体" w:cs="宋体"/>
                <w:i w:val="0"/>
                <w:color w:val="000000"/>
                <w:sz w:val="18"/>
                <w:szCs w:val="1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9C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36EE">
            <w:pPr>
              <w:jc w:val="center"/>
              <w:rPr>
                <w:rFonts w:hint="eastAsia" w:ascii="宋体" w:hAnsi="宋体" w:eastAsia="宋体" w:cs="宋体"/>
                <w:i w:val="0"/>
                <w:color w:val="000000"/>
                <w:sz w:val="18"/>
                <w:szCs w:val="18"/>
                <w:u w:val="none"/>
              </w:rPr>
            </w:pPr>
          </w:p>
        </w:tc>
      </w:tr>
      <w:tr w14:paraId="4CFFD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3"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4CDCFFF">
            <w:pPr>
              <w:jc w:val="center"/>
              <w:rPr>
                <w:rFonts w:hint="eastAsia" w:ascii="宋体" w:hAnsi="宋体" w:eastAsia="宋体" w:cs="宋体"/>
                <w:i w:val="0"/>
                <w:color w:val="000000"/>
                <w:sz w:val="18"/>
                <w:szCs w:val="18"/>
                <w:u w:val="none"/>
              </w:rPr>
            </w:pPr>
          </w:p>
        </w:tc>
        <w:tc>
          <w:tcPr>
            <w:tcW w:w="1132" w:type="dxa"/>
            <w:vMerge w:val="continue"/>
            <w:tcBorders>
              <w:top w:val="single" w:color="000000" w:sz="4" w:space="0"/>
              <w:left w:val="single" w:color="000000" w:sz="4" w:space="0"/>
              <w:right w:val="single" w:color="000000" w:sz="4" w:space="0"/>
            </w:tcBorders>
            <w:shd w:val="clear" w:color="auto" w:fill="auto"/>
            <w:vAlign w:val="center"/>
          </w:tcPr>
          <w:p w14:paraId="2EA12703">
            <w:pPr>
              <w:jc w:val="center"/>
              <w:rPr>
                <w:rFonts w:hint="eastAsia" w:ascii="宋体" w:hAnsi="宋体" w:eastAsia="宋体" w:cs="宋体"/>
                <w:i w:val="0"/>
                <w:color w:val="000000"/>
                <w:sz w:val="18"/>
                <w:szCs w:val="18"/>
                <w:u w:val="none"/>
              </w:rPr>
            </w:pPr>
          </w:p>
        </w:tc>
        <w:tc>
          <w:tcPr>
            <w:tcW w:w="1021" w:type="dxa"/>
            <w:vMerge w:val="restart"/>
            <w:tcBorders>
              <w:top w:val="single" w:color="000000" w:sz="4" w:space="0"/>
              <w:left w:val="single" w:color="000000" w:sz="4" w:space="0"/>
              <w:right w:val="single" w:color="000000" w:sz="4" w:space="0"/>
            </w:tcBorders>
            <w:shd w:val="clear" w:color="auto" w:fill="auto"/>
            <w:vAlign w:val="center"/>
          </w:tcPr>
          <w:p w14:paraId="075244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B92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工作期限</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B1C8E">
            <w:pPr>
              <w:jc w:val="center"/>
              <w:rPr>
                <w:rFonts w:hint="eastAsia" w:ascii="宋体" w:hAnsi="宋体" w:eastAsia="宋体" w:cs="宋体"/>
                <w:i w:val="0"/>
                <w:color w:val="000000"/>
                <w:sz w:val="18"/>
                <w:szCs w:val="1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E5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2024年度</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5D43">
            <w:pPr>
              <w:jc w:val="center"/>
              <w:rPr>
                <w:rFonts w:hint="eastAsia" w:ascii="宋体" w:hAnsi="宋体" w:eastAsia="宋体" w:cs="宋体"/>
                <w:i w:val="0"/>
                <w:color w:val="000000"/>
                <w:sz w:val="18"/>
                <w:szCs w:val="18"/>
                <w:u w:val="none"/>
              </w:rPr>
            </w:pPr>
          </w:p>
        </w:tc>
      </w:tr>
      <w:tr w14:paraId="42E40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18D814D">
            <w:pPr>
              <w:jc w:val="center"/>
              <w:rPr>
                <w:rFonts w:hint="eastAsia" w:ascii="宋体" w:hAnsi="宋体" w:eastAsia="宋体" w:cs="宋体"/>
                <w:i w:val="0"/>
                <w:color w:val="000000"/>
                <w:sz w:val="18"/>
                <w:szCs w:val="18"/>
                <w:u w:val="none"/>
              </w:rPr>
            </w:pPr>
          </w:p>
        </w:tc>
        <w:tc>
          <w:tcPr>
            <w:tcW w:w="1132" w:type="dxa"/>
            <w:vMerge w:val="continue"/>
            <w:tcBorders>
              <w:top w:val="single" w:color="000000" w:sz="4" w:space="0"/>
              <w:left w:val="single" w:color="000000" w:sz="4" w:space="0"/>
              <w:right w:val="single" w:color="000000" w:sz="4" w:space="0"/>
            </w:tcBorders>
            <w:shd w:val="clear" w:color="auto" w:fill="auto"/>
            <w:vAlign w:val="center"/>
          </w:tcPr>
          <w:p w14:paraId="7C613E8D">
            <w:pPr>
              <w:jc w:val="center"/>
              <w:rPr>
                <w:rFonts w:hint="eastAsia" w:ascii="宋体" w:hAnsi="宋体" w:eastAsia="宋体" w:cs="宋体"/>
                <w:i w:val="0"/>
                <w:color w:val="000000"/>
                <w:sz w:val="18"/>
                <w:szCs w:val="18"/>
                <w:u w:val="none"/>
              </w:rPr>
            </w:pPr>
          </w:p>
        </w:tc>
        <w:tc>
          <w:tcPr>
            <w:tcW w:w="1021" w:type="dxa"/>
            <w:vMerge w:val="continue"/>
            <w:tcBorders>
              <w:top w:val="single" w:color="000000" w:sz="4" w:space="0"/>
              <w:left w:val="single" w:color="000000" w:sz="4" w:space="0"/>
              <w:right w:val="single" w:color="000000" w:sz="4" w:space="0"/>
            </w:tcBorders>
            <w:shd w:val="clear" w:color="auto" w:fill="auto"/>
            <w:vAlign w:val="center"/>
          </w:tcPr>
          <w:p w14:paraId="51BC024F">
            <w:pPr>
              <w:jc w:val="center"/>
              <w:rPr>
                <w:rFonts w:hint="eastAsia" w:ascii="宋体" w:hAnsi="宋体" w:eastAsia="宋体" w:cs="宋体"/>
                <w:i w:val="0"/>
                <w:color w:val="000000"/>
                <w:sz w:val="18"/>
                <w:szCs w:val="18"/>
                <w:u w:val="none"/>
              </w:rPr>
            </w:pPr>
          </w:p>
        </w:tc>
        <w:tc>
          <w:tcPr>
            <w:tcW w:w="1668" w:type="dxa"/>
            <w:tcBorders>
              <w:top w:val="single" w:color="000000" w:sz="4" w:space="0"/>
              <w:left w:val="single" w:color="000000" w:sz="4" w:space="0"/>
              <w:right w:val="single" w:color="000000" w:sz="4" w:space="0"/>
            </w:tcBorders>
            <w:shd w:val="clear" w:color="auto" w:fill="auto"/>
            <w:vAlign w:val="center"/>
          </w:tcPr>
          <w:p w14:paraId="0DF4D3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项目完成及时率</w:t>
            </w:r>
          </w:p>
        </w:tc>
        <w:tc>
          <w:tcPr>
            <w:tcW w:w="1452" w:type="dxa"/>
            <w:tcBorders>
              <w:top w:val="single" w:color="000000" w:sz="4" w:space="0"/>
              <w:left w:val="single" w:color="000000" w:sz="4" w:space="0"/>
              <w:right w:val="single" w:color="000000" w:sz="4" w:space="0"/>
            </w:tcBorders>
            <w:shd w:val="clear" w:color="auto" w:fill="auto"/>
            <w:vAlign w:val="center"/>
          </w:tcPr>
          <w:p w14:paraId="1E5FCF80">
            <w:pPr>
              <w:jc w:val="center"/>
              <w:rPr>
                <w:rFonts w:hint="eastAsia" w:ascii="宋体" w:hAnsi="宋体" w:eastAsia="宋体" w:cs="宋体"/>
                <w:i w:val="0"/>
                <w:color w:val="000000"/>
                <w:sz w:val="18"/>
                <w:szCs w:val="1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5D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6958">
            <w:pPr>
              <w:jc w:val="center"/>
              <w:rPr>
                <w:rFonts w:hint="eastAsia" w:ascii="宋体" w:hAnsi="宋体" w:eastAsia="宋体" w:cs="宋体"/>
                <w:i w:val="0"/>
                <w:color w:val="000000"/>
                <w:sz w:val="18"/>
                <w:szCs w:val="18"/>
                <w:u w:val="none"/>
              </w:rPr>
            </w:pPr>
          </w:p>
        </w:tc>
      </w:tr>
      <w:tr w14:paraId="63F6D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9"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C962D29">
            <w:pPr>
              <w:jc w:val="center"/>
              <w:rPr>
                <w:rFonts w:hint="eastAsia" w:ascii="宋体" w:hAnsi="宋体" w:eastAsia="宋体" w:cs="宋体"/>
                <w:i w:val="0"/>
                <w:color w:val="000000"/>
                <w:sz w:val="18"/>
                <w:szCs w:val="18"/>
                <w:u w:val="none"/>
              </w:rPr>
            </w:pPr>
          </w:p>
        </w:tc>
        <w:tc>
          <w:tcPr>
            <w:tcW w:w="1132" w:type="dxa"/>
            <w:vMerge w:val="restart"/>
            <w:tcBorders>
              <w:top w:val="single" w:color="000000" w:sz="4" w:space="0"/>
              <w:left w:val="single" w:color="000000" w:sz="4" w:space="0"/>
              <w:right w:val="single" w:color="000000" w:sz="4" w:space="0"/>
            </w:tcBorders>
            <w:shd w:val="clear" w:color="auto" w:fill="auto"/>
            <w:vAlign w:val="center"/>
          </w:tcPr>
          <w:p w14:paraId="3DD960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46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668" w:type="dxa"/>
            <w:tcBorders>
              <w:top w:val="single" w:color="000000" w:sz="4" w:space="0"/>
              <w:left w:val="single" w:color="000000" w:sz="4" w:space="0"/>
              <w:right w:val="single" w:color="000000" w:sz="4" w:space="0"/>
            </w:tcBorders>
            <w:shd w:val="clear" w:color="auto" w:fill="auto"/>
            <w:vAlign w:val="center"/>
          </w:tcPr>
          <w:p w14:paraId="7D3F39EA">
            <w:pPr>
              <w:jc w:val="center"/>
              <w:rPr>
                <w:rFonts w:hint="eastAsia" w:ascii="宋体" w:hAnsi="宋体" w:eastAsia="宋体" w:cs="宋体"/>
                <w:i w:val="0"/>
                <w:color w:val="000000"/>
                <w:sz w:val="18"/>
                <w:szCs w:val="18"/>
                <w:u w:val="none"/>
              </w:rPr>
            </w:pPr>
          </w:p>
        </w:tc>
        <w:tc>
          <w:tcPr>
            <w:tcW w:w="1452" w:type="dxa"/>
            <w:tcBorders>
              <w:top w:val="single" w:color="000000" w:sz="4" w:space="0"/>
              <w:left w:val="single" w:color="000000" w:sz="4" w:space="0"/>
              <w:right w:val="single" w:color="000000" w:sz="4" w:space="0"/>
            </w:tcBorders>
            <w:shd w:val="clear" w:color="auto" w:fill="auto"/>
            <w:vAlign w:val="center"/>
          </w:tcPr>
          <w:p w14:paraId="089908DE">
            <w:pPr>
              <w:jc w:val="center"/>
              <w:rPr>
                <w:rFonts w:hint="eastAsia" w:ascii="宋体" w:hAnsi="宋体" w:eastAsia="宋体" w:cs="宋体"/>
                <w:i w:val="0"/>
                <w:color w:val="000000"/>
                <w:sz w:val="18"/>
                <w:szCs w:val="18"/>
                <w:u w:val="none"/>
              </w:rPr>
            </w:pPr>
          </w:p>
        </w:tc>
        <w:tc>
          <w:tcPr>
            <w:tcW w:w="1726" w:type="dxa"/>
            <w:tcBorders>
              <w:top w:val="single" w:color="000000" w:sz="4" w:space="0"/>
              <w:left w:val="single" w:color="000000" w:sz="4" w:space="0"/>
              <w:right w:val="single" w:color="000000" w:sz="4" w:space="0"/>
            </w:tcBorders>
            <w:shd w:val="clear" w:color="auto" w:fill="auto"/>
            <w:vAlign w:val="center"/>
          </w:tcPr>
          <w:p w14:paraId="2DEE3CED">
            <w:pPr>
              <w:jc w:val="center"/>
              <w:rPr>
                <w:rFonts w:hint="eastAsia" w:ascii="宋体" w:hAnsi="宋体" w:eastAsia="宋体" w:cs="宋体"/>
                <w:i w:val="0"/>
                <w:color w:val="000000"/>
                <w:sz w:val="18"/>
                <w:szCs w:val="18"/>
                <w:u w:val="none"/>
              </w:rPr>
            </w:pPr>
          </w:p>
        </w:tc>
        <w:tc>
          <w:tcPr>
            <w:tcW w:w="1696" w:type="dxa"/>
            <w:tcBorders>
              <w:top w:val="single" w:color="000000" w:sz="4" w:space="0"/>
              <w:left w:val="single" w:color="000000" w:sz="4" w:space="0"/>
              <w:right w:val="single" w:color="000000" w:sz="4" w:space="0"/>
            </w:tcBorders>
            <w:shd w:val="clear" w:color="auto" w:fill="auto"/>
            <w:vAlign w:val="center"/>
          </w:tcPr>
          <w:p w14:paraId="17DD6E45">
            <w:pPr>
              <w:jc w:val="center"/>
              <w:rPr>
                <w:rFonts w:hint="eastAsia" w:ascii="宋体" w:hAnsi="宋体" w:eastAsia="宋体" w:cs="宋体"/>
                <w:i w:val="0"/>
                <w:color w:val="000000"/>
                <w:sz w:val="18"/>
                <w:szCs w:val="18"/>
                <w:u w:val="none"/>
              </w:rPr>
            </w:pPr>
          </w:p>
        </w:tc>
      </w:tr>
      <w:tr w14:paraId="7BCED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80"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F68C088">
            <w:pPr>
              <w:jc w:val="center"/>
              <w:rPr>
                <w:rFonts w:hint="eastAsia" w:ascii="宋体" w:hAnsi="宋体" w:eastAsia="宋体" w:cs="宋体"/>
                <w:i w:val="0"/>
                <w:color w:val="000000"/>
                <w:sz w:val="18"/>
                <w:szCs w:val="18"/>
                <w:u w:val="none"/>
              </w:rPr>
            </w:pPr>
          </w:p>
        </w:tc>
        <w:tc>
          <w:tcPr>
            <w:tcW w:w="1132" w:type="dxa"/>
            <w:vMerge w:val="continue"/>
            <w:tcBorders>
              <w:top w:val="single" w:color="000000" w:sz="4" w:space="0"/>
              <w:left w:val="single" w:color="000000" w:sz="4" w:space="0"/>
              <w:right w:val="single" w:color="000000" w:sz="4" w:space="0"/>
            </w:tcBorders>
            <w:shd w:val="clear" w:color="auto" w:fill="auto"/>
            <w:vAlign w:val="center"/>
          </w:tcPr>
          <w:p w14:paraId="4F147A48">
            <w:pPr>
              <w:jc w:val="center"/>
              <w:rPr>
                <w:rFonts w:hint="eastAsia" w:ascii="宋体" w:hAnsi="宋体" w:eastAsia="宋体" w:cs="宋体"/>
                <w:i w:val="0"/>
                <w:color w:val="000000"/>
                <w:sz w:val="18"/>
                <w:szCs w:val="18"/>
                <w:u w:val="none"/>
              </w:rPr>
            </w:pPr>
          </w:p>
        </w:tc>
        <w:tc>
          <w:tcPr>
            <w:tcW w:w="1021" w:type="dxa"/>
            <w:tcBorders>
              <w:top w:val="single" w:color="000000" w:sz="4" w:space="0"/>
              <w:left w:val="single" w:color="000000" w:sz="4" w:space="0"/>
              <w:right w:val="single" w:color="000000" w:sz="4" w:space="0"/>
            </w:tcBorders>
            <w:shd w:val="clear" w:color="auto" w:fill="auto"/>
            <w:vAlign w:val="center"/>
          </w:tcPr>
          <w:p w14:paraId="6CD14A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668" w:type="dxa"/>
            <w:tcBorders>
              <w:top w:val="single" w:color="000000" w:sz="4" w:space="0"/>
              <w:left w:val="single" w:color="000000" w:sz="4" w:space="0"/>
              <w:right w:val="single" w:color="000000" w:sz="4" w:space="0"/>
            </w:tcBorders>
            <w:shd w:val="clear" w:color="auto" w:fill="auto"/>
            <w:vAlign w:val="center"/>
          </w:tcPr>
          <w:p w14:paraId="2F1E12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消除血吸虫病危害，保护疫区群众身体健康</w:t>
            </w:r>
          </w:p>
        </w:tc>
        <w:tc>
          <w:tcPr>
            <w:tcW w:w="1452" w:type="dxa"/>
            <w:tcBorders>
              <w:top w:val="single" w:color="000000" w:sz="4" w:space="0"/>
              <w:left w:val="single" w:color="000000" w:sz="4" w:space="0"/>
              <w:right w:val="single" w:color="000000" w:sz="4" w:space="0"/>
            </w:tcBorders>
            <w:shd w:val="clear" w:color="auto" w:fill="auto"/>
            <w:vAlign w:val="center"/>
          </w:tcPr>
          <w:p w14:paraId="35A21C68">
            <w:pPr>
              <w:jc w:val="center"/>
              <w:rPr>
                <w:rFonts w:hint="eastAsia" w:ascii="宋体" w:hAnsi="宋体" w:eastAsia="宋体" w:cs="宋体"/>
                <w:i w:val="0"/>
                <w:color w:val="000000"/>
                <w:sz w:val="18"/>
                <w:szCs w:val="1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A1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无急感病例</w:t>
            </w:r>
          </w:p>
        </w:tc>
        <w:tc>
          <w:tcPr>
            <w:tcW w:w="1696" w:type="dxa"/>
            <w:tcBorders>
              <w:top w:val="single" w:color="000000" w:sz="4" w:space="0"/>
              <w:left w:val="single" w:color="000000" w:sz="4" w:space="0"/>
              <w:right w:val="single" w:color="000000" w:sz="4" w:space="0"/>
            </w:tcBorders>
            <w:shd w:val="clear" w:color="auto" w:fill="auto"/>
            <w:vAlign w:val="center"/>
          </w:tcPr>
          <w:p w14:paraId="2C72AA6E">
            <w:pPr>
              <w:jc w:val="center"/>
              <w:rPr>
                <w:rFonts w:hint="eastAsia" w:ascii="宋体" w:hAnsi="宋体" w:eastAsia="宋体" w:cs="宋体"/>
                <w:i w:val="0"/>
                <w:color w:val="000000"/>
                <w:sz w:val="18"/>
                <w:szCs w:val="18"/>
                <w:u w:val="none"/>
              </w:rPr>
            </w:pPr>
          </w:p>
        </w:tc>
      </w:tr>
      <w:tr w14:paraId="4301A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9"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C175B4E">
            <w:pPr>
              <w:jc w:val="center"/>
              <w:rPr>
                <w:rFonts w:hint="eastAsia" w:ascii="宋体" w:hAnsi="宋体" w:eastAsia="宋体" w:cs="宋体"/>
                <w:i w:val="0"/>
                <w:color w:val="000000"/>
                <w:sz w:val="18"/>
                <w:szCs w:val="18"/>
                <w:u w:val="none"/>
              </w:rPr>
            </w:pPr>
          </w:p>
        </w:tc>
        <w:tc>
          <w:tcPr>
            <w:tcW w:w="1132" w:type="dxa"/>
            <w:vMerge w:val="continue"/>
            <w:tcBorders>
              <w:top w:val="single" w:color="000000" w:sz="4" w:space="0"/>
              <w:left w:val="single" w:color="000000" w:sz="4" w:space="0"/>
              <w:right w:val="single" w:color="000000" w:sz="4" w:space="0"/>
            </w:tcBorders>
            <w:shd w:val="clear" w:color="auto" w:fill="auto"/>
            <w:vAlign w:val="center"/>
          </w:tcPr>
          <w:p w14:paraId="71A64790">
            <w:pPr>
              <w:jc w:val="center"/>
              <w:rPr>
                <w:rFonts w:hint="eastAsia" w:ascii="宋体" w:hAnsi="宋体" w:eastAsia="宋体" w:cs="宋体"/>
                <w:i w:val="0"/>
                <w:color w:val="000000"/>
                <w:sz w:val="18"/>
                <w:szCs w:val="18"/>
                <w:u w:val="none"/>
              </w:rPr>
            </w:pPr>
          </w:p>
        </w:tc>
        <w:tc>
          <w:tcPr>
            <w:tcW w:w="1021" w:type="dxa"/>
            <w:vMerge w:val="restart"/>
            <w:tcBorders>
              <w:top w:val="single" w:color="000000" w:sz="4" w:space="0"/>
              <w:left w:val="single" w:color="000000" w:sz="4" w:space="0"/>
              <w:right w:val="single" w:color="000000" w:sz="4" w:space="0"/>
            </w:tcBorders>
            <w:shd w:val="clear" w:color="auto" w:fill="auto"/>
            <w:vAlign w:val="center"/>
          </w:tcPr>
          <w:p w14:paraId="76BBDB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1668" w:type="dxa"/>
            <w:tcBorders>
              <w:top w:val="single" w:color="000000" w:sz="4" w:space="0"/>
              <w:left w:val="single" w:color="000000" w:sz="4" w:space="0"/>
              <w:right w:val="single" w:color="000000" w:sz="4" w:space="0"/>
            </w:tcBorders>
            <w:shd w:val="clear" w:color="auto" w:fill="auto"/>
            <w:vAlign w:val="center"/>
          </w:tcPr>
          <w:p w14:paraId="06F09F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城区、大冶市持续保持消除状态</w:t>
            </w:r>
          </w:p>
        </w:tc>
        <w:tc>
          <w:tcPr>
            <w:tcW w:w="1452" w:type="dxa"/>
            <w:tcBorders>
              <w:top w:val="single" w:color="000000" w:sz="4" w:space="0"/>
              <w:left w:val="single" w:color="000000" w:sz="4" w:space="0"/>
              <w:right w:val="single" w:color="000000" w:sz="4" w:space="0"/>
            </w:tcBorders>
            <w:shd w:val="clear" w:color="auto" w:fill="auto"/>
            <w:vAlign w:val="center"/>
          </w:tcPr>
          <w:p w14:paraId="11D99218">
            <w:pPr>
              <w:jc w:val="center"/>
              <w:rPr>
                <w:rFonts w:hint="eastAsia" w:ascii="宋体" w:hAnsi="宋体" w:eastAsia="宋体" w:cs="宋体"/>
                <w:i w:val="0"/>
                <w:color w:val="000000"/>
                <w:sz w:val="18"/>
                <w:szCs w:val="1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E4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持续保持</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87C7">
            <w:pPr>
              <w:jc w:val="center"/>
              <w:rPr>
                <w:rFonts w:hint="eastAsia" w:ascii="宋体" w:hAnsi="宋体" w:eastAsia="宋体" w:cs="宋体"/>
                <w:i w:val="0"/>
                <w:color w:val="000000"/>
                <w:sz w:val="18"/>
                <w:szCs w:val="18"/>
                <w:u w:val="none"/>
              </w:rPr>
            </w:pPr>
          </w:p>
        </w:tc>
      </w:tr>
      <w:tr w14:paraId="20380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9"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09696AE">
            <w:pPr>
              <w:jc w:val="center"/>
              <w:rPr>
                <w:rFonts w:hint="eastAsia" w:ascii="宋体" w:hAnsi="宋体" w:eastAsia="宋体" w:cs="宋体"/>
                <w:i w:val="0"/>
                <w:color w:val="000000"/>
                <w:sz w:val="18"/>
                <w:szCs w:val="18"/>
                <w:u w:val="none"/>
              </w:rPr>
            </w:pPr>
          </w:p>
        </w:tc>
        <w:tc>
          <w:tcPr>
            <w:tcW w:w="1132" w:type="dxa"/>
            <w:vMerge w:val="continue"/>
            <w:tcBorders>
              <w:top w:val="single" w:color="000000" w:sz="4" w:space="0"/>
              <w:left w:val="single" w:color="000000" w:sz="4" w:space="0"/>
              <w:right w:val="single" w:color="000000" w:sz="4" w:space="0"/>
            </w:tcBorders>
            <w:shd w:val="clear" w:color="auto" w:fill="auto"/>
            <w:vAlign w:val="center"/>
          </w:tcPr>
          <w:p w14:paraId="0279A5B9">
            <w:pPr>
              <w:jc w:val="center"/>
              <w:rPr>
                <w:rFonts w:hint="eastAsia" w:ascii="宋体" w:hAnsi="宋体" w:eastAsia="宋体" w:cs="宋体"/>
                <w:i w:val="0"/>
                <w:color w:val="000000"/>
                <w:sz w:val="18"/>
                <w:szCs w:val="18"/>
                <w:u w:val="none"/>
              </w:rPr>
            </w:pPr>
          </w:p>
        </w:tc>
        <w:tc>
          <w:tcPr>
            <w:tcW w:w="1021" w:type="dxa"/>
            <w:vMerge w:val="continue"/>
            <w:tcBorders>
              <w:top w:val="single" w:color="000000" w:sz="4" w:space="0"/>
              <w:left w:val="single" w:color="000000" w:sz="4" w:space="0"/>
              <w:right w:val="single" w:color="000000" w:sz="4" w:space="0"/>
            </w:tcBorders>
            <w:shd w:val="clear" w:color="auto" w:fill="auto"/>
            <w:vAlign w:val="center"/>
          </w:tcPr>
          <w:p w14:paraId="204629AF">
            <w:pPr>
              <w:jc w:val="center"/>
              <w:rPr>
                <w:rFonts w:hint="eastAsia" w:ascii="宋体" w:hAnsi="宋体" w:eastAsia="宋体" w:cs="宋体"/>
                <w:i w:val="0"/>
                <w:color w:val="000000"/>
                <w:sz w:val="18"/>
                <w:szCs w:val="18"/>
                <w:u w:val="none"/>
              </w:rPr>
            </w:pPr>
          </w:p>
        </w:tc>
        <w:tc>
          <w:tcPr>
            <w:tcW w:w="1668" w:type="dxa"/>
            <w:tcBorders>
              <w:top w:val="single" w:color="000000" w:sz="4" w:space="0"/>
              <w:left w:val="single" w:color="000000" w:sz="4" w:space="0"/>
              <w:right w:val="single" w:color="000000" w:sz="4" w:space="0"/>
            </w:tcBorders>
            <w:shd w:val="clear" w:color="auto" w:fill="auto"/>
            <w:vAlign w:val="center"/>
          </w:tcPr>
          <w:p w14:paraId="48266C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阳新县保持传播阻断标准</w:t>
            </w:r>
          </w:p>
        </w:tc>
        <w:tc>
          <w:tcPr>
            <w:tcW w:w="1452" w:type="dxa"/>
            <w:tcBorders>
              <w:top w:val="single" w:color="000000" w:sz="4" w:space="0"/>
              <w:left w:val="single" w:color="000000" w:sz="4" w:space="0"/>
              <w:right w:val="single" w:color="000000" w:sz="4" w:space="0"/>
            </w:tcBorders>
            <w:shd w:val="clear" w:color="auto" w:fill="auto"/>
            <w:vAlign w:val="center"/>
          </w:tcPr>
          <w:p w14:paraId="6095F4DA">
            <w:pPr>
              <w:jc w:val="center"/>
              <w:rPr>
                <w:rFonts w:hint="eastAsia" w:ascii="宋体" w:hAnsi="宋体" w:eastAsia="宋体" w:cs="宋体"/>
                <w:i w:val="0"/>
                <w:color w:val="000000"/>
                <w:sz w:val="18"/>
                <w:szCs w:val="1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AA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持续保持</w:t>
            </w:r>
          </w:p>
        </w:tc>
        <w:tc>
          <w:tcPr>
            <w:tcW w:w="1696" w:type="dxa"/>
            <w:tcBorders>
              <w:top w:val="single" w:color="000000" w:sz="4" w:space="0"/>
              <w:left w:val="single" w:color="000000" w:sz="4" w:space="0"/>
              <w:right w:val="single" w:color="000000" w:sz="4" w:space="0"/>
            </w:tcBorders>
            <w:shd w:val="clear" w:color="auto" w:fill="auto"/>
            <w:vAlign w:val="center"/>
          </w:tcPr>
          <w:p w14:paraId="0232799A">
            <w:pPr>
              <w:jc w:val="center"/>
              <w:rPr>
                <w:rFonts w:hint="eastAsia" w:ascii="宋体" w:hAnsi="宋体" w:eastAsia="宋体" w:cs="宋体"/>
                <w:i w:val="0"/>
                <w:color w:val="000000"/>
                <w:sz w:val="18"/>
                <w:szCs w:val="18"/>
                <w:u w:val="none"/>
              </w:rPr>
            </w:pPr>
          </w:p>
        </w:tc>
      </w:tr>
      <w:tr w14:paraId="53133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9" w:hRule="atLeast"/>
        </w:trPr>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6A8505D">
            <w:pPr>
              <w:jc w:val="center"/>
              <w:rPr>
                <w:rFonts w:hint="eastAsia" w:ascii="宋体" w:hAnsi="宋体" w:eastAsia="宋体" w:cs="宋体"/>
                <w:i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93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021" w:type="dxa"/>
            <w:tcBorders>
              <w:top w:val="single" w:color="000000" w:sz="4" w:space="0"/>
              <w:left w:val="single" w:color="000000" w:sz="4" w:space="0"/>
              <w:right w:val="single" w:color="000000" w:sz="4" w:space="0"/>
            </w:tcBorders>
            <w:shd w:val="clear" w:color="auto" w:fill="auto"/>
            <w:vAlign w:val="center"/>
          </w:tcPr>
          <w:p w14:paraId="1BB0C1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668" w:type="dxa"/>
            <w:tcBorders>
              <w:top w:val="single" w:color="000000" w:sz="4" w:space="0"/>
              <w:left w:val="single" w:color="000000" w:sz="4" w:space="0"/>
              <w:right w:val="single" w:color="000000" w:sz="4" w:space="0"/>
            </w:tcBorders>
            <w:shd w:val="clear" w:color="auto" w:fill="auto"/>
            <w:vAlign w:val="center"/>
          </w:tcPr>
          <w:p w14:paraId="052901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1452" w:type="dxa"/>
            <w:tcBorders>
              <w:top w:val="single" w:color="000000" w:sz="4" w:space="0"/>
              <w:left w:val="single" w:color="000000" w:sz="4" w:space="0"/>
              <w:right w:val="single" w:color="000000" w:sz="4" w:space="0"/>
            </w:tcBorders>
            <w:shd w:val="clear" w:color="auto" w:fill="auto"/>
            <w:vAlign w:val="center"/>
          </w:tcPr>
          <w:p w14:paraId="4EE3D1EA">
            <w:pPr>
              <w:jc w:val="center"/>
              <w:rPr>
                <w:rFonts w:hint="eastAsia" w:ascii="宋体" w:hAnsi="宋体" w:eastAsia="宋体" w:cs="宋体"/>
                <w:i w:val="0"/>
                <w:color w:val="000000"/>
                <w:sz w:val="18"/>
                <w:szCs w:val="18"/>
                <w:u w:val="none"/>
              </w:rPr>
            </w:pPr>
          </w:p>
        </w:tc>
        <w:tc>
          <w:tcPr>
            <w:tcW w:w="1726" w:type="dxa"/>
            <w:tcBorders>
              <w:top w:val="single" w:color="000000" w:sz="4" w:space="0"/>
              <w:left w:val="single" w:color="000000" w:sz="4" w:space="0"/>
              <w:right w:val="single" w:color="000000" w:sz="4" w:space="0"/>
            </w:tcBorders>
            <w:shd w:val="clear" w:color="auto" w:fill="auto"/>
            <w:vAlign w:val="center"/>
          </w:tcPr>
          <w:p w14:paraId="5DC31175">
            <w:pPr>
              <w:keepNext w:val="0"/>
              <w:keepLines w:val="0"/>
              <w:widowControl/>
              <w:suppressLineNumbers w:val="0"/>
              <w:jc w:val="center"/>
              <w:textAlignment w:val="center"/>
              <w:rPr>
                <w:rFonts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90%</w:t>
            </w:r>
          </w:p>
        </w:tc>
        <w:tc>
          <w:tcPr>
            <w:tcW w:w="1696" w:type="dxa"/>
            <w:tcBorders>
              <w:top w:val="single" w:color="000000" w:sz="4" w:space="0"/>
              <w:left w:val="single" w:color="000000" w:sz="4" w:space="0"/>
              <w:right w:val="single" w:color="000000" w:sz="4" w:space="0"/>
            </w:tcBorders>
            <w:shd w:val="clear" w:color="auto" w:fill="auto"/>
            <w:vAlign w:val="center"/>
          </w:tcPr>
          <w:p w14:paraId="4E2C35A9">
            <w:pPr>
              <w:jc w:val="center"/>
              <w:rPr>
                <w:rFonts w:hint="eastAsia" w:ascii="宋体" w:hAnsi="宋体" w:eastAsia="宋体" w:cs="宋体"/>
                <w:i w:val="0"/>
                <w:color w:val="000000"/>
                <w:sz w:val="18"/>
                <w:szCs w:val="18"/>
                <w:u w:val="none"/>
              </w:rPr>
            </w:pPr>
          </w:p>
        </w:tc>
      </w:tr>
      <w:tr w14:paraId="67914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26" w:hRule="atLeast"/>
        </w:trPr>
        <w:tc>
          <w:tcPr>
            <w:tcW w:w="4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128CB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财政资金管理科室（盖章）</w:t>
            </w:r>
          </w:p>
          <w:p w14:paraId="77E645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    月     日</w:t>
            </w:r>
          </w:p>
        </w:tc>
        <w:tc>
          <w:tcPr>
            <w:tcW w:w="48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A0D11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财政绩效管理科室（盖章）</w:t>
            </w:r>
          </w:p>
          <w:p w14:paraId="4F9011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    月     日</w:t>
            </w:r>
          </w:p>
        </w:tc>
      </w:tr>
    </w:tbl>
    <w:p w14:paraId="0CB04BB3">
      <w:pPr>
        <w:pStyle w:val="6"/>
        <w:keepNext w:val="0"/>
        <w:keepLines w:val="0"/>
        <w:pageBreakBefore w:val="0"/>
        <w:widowControl w:val="0"/>
        <w:numPr>
          <w:ilvl w:val="0"/>
          <w:numId w:val="0"/>
        </w:numPr>
        <w:kinsoku/>
        <w:wordWrap/>
        <w:overflowPunct/>
        <w:topLinePunct w:val="0"/>
        <w:autoSpaceDE/>
        <w:autoSpaceDN/>
        <w:bidi w:val="0"/>
        <w:spacing w:line="460" w:lineRule="atLeast"/>
        <w:jc w:val="both"/>
        <w:textAlignment w:val="auto"/>
        <w:rPr>
          <w:rFonts w:hint="eastAsia" w:ascii="仿宋_GB2312" w:eastAsia="仿宋_GB2312"/>
          <w:b/>
          <w:bCs/>
          <w:color w:val="000000"/>
          <w:sz w:val="36"/>
          <w:szCs w:val="36"/>
          <w:highlight w:val="none"/>
          <w:lang w:val="en-US" w:eastAsia="zh-CN"/>
        </w:rPr>
      </w:pPr>
    </w:p>
    <w:tbl>
      <w:tblPr>
        <w:tblStyle w:val="3"/>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95"/>
        <w:gridCol w:w="1157"/>
        <w:gridCol w:w="1045"/>
        <w:gridCol w:w="1687"/>
        <w:gridCol w:w="1485"/>
        <w:gridCol w:w="1756"/>
        <w:gridCol w:w="1735"/>
      </w:tblGrid>
      <w:tr w14:paraId="06298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9260" w:type="dxa"/>
            <w:gridSpan w:val="7"/>
            <w:shd w:val="clear" w:color="auto" w:fill="auto"/>
            <w:vAlign w:val="center"/>
          </w:tcPr>
          <w:p w14:paraId="1B4BE092">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项目支出绩效目标批复表</w:t>
            </w:r>
          </w:p>
        </w:tc>
      </w:tr>
      <w:tr w14:paraId="75FEE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trPr>
        <w:tc>
          <w:tcPr>
            <w:tcW w:w="9260" w:type="dxa"/>
            <w:gridSpan w:val="7"/>
            <w:shd w:val="clear" w:color="auto" w:fill="auto"/>
            <w:vAlign w:val="center"/>
          </w:tcPr>
          <w:p w14:paraId="1286B13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14:paraId="248C1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9260" w:type="dxa"/>
            <w:gridSpan w:val="7"/>
            <w:tcBorders>
              <w:bottom w:val="single" w:color="000000" w:sz="4" w:space="0"/>
            </w:tcBorders>
            <w:shd w:val="clear" w:color="auto" w:fill="auto"/>
            <w:vAlign w:val="center"/>
          </w:tcPr>
          <w:p w14:paraId="19DFBAA1">
            <w:pPr>
              <w:jc w:val="left"/>
              <w:rPr>
                <w:rFonts w:hint="eastAsia" w:ascii="宋体" w:hAnsi="宋体" w:eastAsia="宋体" w:cs="宋体"/>
                <w:i w:val="0"/>
                <w:color w:val="000000"/>
                <w:sz w:val="22"/>
                <w:szCs w:val="22"/>
                <w:u w:val="none"/>
              </w:rPr>
            </w:pPr>
          </w:p>
        </w:tc>
      </w:tr>
      <w:tr w14:paraId="0493C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1" w:hRule="atLeast"/>
        </w:trPr>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429B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7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CD1F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应急物资储备库房租</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B6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项目负责人</w:t>
            </w: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AA19B">
            <w:pPr>
              <w:jc w:val="center"/>
              <w:rPr>
                <w:rFonts w:hint="eastAsia" w:ascii="宋体" w:hAnsi="宋体" w:eastAsia="宋体" w:cs="宋体"/>
                <w:i w:val="0"/>
                <w:color w:val="000000"/>
                <w:sz w:val="18"/>
                <w:szCs w:val="18"/>
                <w:u w:val="none"/>
              </w:rPr>
            </w:pPr>
          </w:p>
        </w:tc>
      </w:tr>
      <w:tr w14:paraId="7E216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0" w:hRule="atLeast"/>
        </w:trPr>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68A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项目金额</w:t>
            </w:r>
          </w:p>
        </w:tc>
        <w:tc>
          <w:tcPr>
            <w:tcW w:w="27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CA52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C4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其中：当年市级财政资金</w:t>
            </w: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3E31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50万</w:t>
            </w:r>
          </w:p>
        </w:tc>
      </w:tr>
      <w:tr w14:paraId="42841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1" w:hRule="atLeast"/>
        </w:trPr>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686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项目主管部门</w:t>
            </w:r>
          </w:p>
        </w:tc>
        <w:tc>
          <w:tcPr>
            <w:tcW w:w="27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4A01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黄石市卫生健康委员会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CA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90A4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黄石市卫生健康委员会</w:t>
            </w:r>
          </w:p>
        </w:tc>
      </w:tr>
      <w:tr w14:paraId="49EA3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1" w:hRule="atLeast"/>
        </w:trPr>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B996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项目属性</w:t>
            </w:r>
          </w:p>
        </w:tc>
        <w:tc>
          <w:tcPr>
            <w:tcW w:w="27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98FB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持续性项目■    新增性项目口</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B6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项目期</w:t>
            </w:r>
          </w:p>
        </w:tc>
        <w:tc>
          <w:tcPr>
            <w:tcW w:w="34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66D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w:t>
            </w:r>
          </w:p>
        </w:tc>
      </w:tr>
      <w:tr w14:paraId="3D383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trPr>
        <w:tc>
          <w:tcPr>
            <w:tcW w:w="1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F77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年度绩效目标    （文字）</w:t>
            </w:r>
          </w:p>
        </w:tc>
        <w:tc>
          <w:tcPr>
            <w:tcW w:w="77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C1647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保障我市医疗应急物资保障工作正常运转</w:t>
            </w:r>
          </w:p>
        </w:tc>
      </w:tr>
      <w:tr w14:paraId="54D09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4" w:hRule="atLeast"/>
        </w:trPr>
        <w:tc>
          <w:tcPr>
            <w:tcW w:w="395"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D0C93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DF8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70D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252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3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3FB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08C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指标标准或依据</w:t>
            </w:r>
          </w:p>
        </w:tc>
      </w:tr>
      <w:tr w14:paraId="65A03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4" w:hRule="atLeast"/>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33F8191">
            <w:pPr>
              <w:jc w:val="center"/>
              <w:rPr>
                <w:rFonts w:hint="eastAsia" w:ascii="宋体" w:hAnsi="宋体" w:eastAsia="宋体" w:cs="宋体"/>
                <w:i w:val="0"/>
                <w:color w:val="000000"/>
                <w:sz w:val="18"/>
                <w:szCs w:val="18"/>
                <w:u w:val="none"/>
              </w:rPr>
            </w:pP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2A7D2">
            <w:pPr>
              <w:jc w:val="center"/>
              <w:rPr>
                <w:rFonts w:hint="eastAsia" w:ascii="宋体" w:hAnsi="宋体" w:eastAsia="宋体" w:cs="宋体"/>
                <w:i w:val="0"/>
                <w:color w:val="000000"/>
                <w:sz w:val="18"/>
                <w:szCs w:val="18"/>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3155A">
            <w:pPr>
              <w:jc w:val="center"/>
              <w:rPr>
                <w:rFonts w:hint="eastAsia" w:ascii="宋体" w:hAnsi="宋体" w:eastAsia="宋体" w:cs="宋体"/>
                <w:i w:val="0"/>
                <w:color w:val="000000"/>
                <w:sz w:val="18"/>
                <w:szCs w:val="18"/>
                <w:u w:val="none"/>
              </w:rPr>
            </w:pPr>
          </w:p>
        </w:tc>
        <w:tc>
          <w:tcPr>
            <w:tcW w:w="16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F1E7E">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6C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2022年实际实现值</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48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预期2023年实现值</w:t>
            </w:r>
          </w:p>
        </w:tc>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99ED0">
            <w:pPr>
              <w:jc w:val="center"/>
              <w:rPr>
                <w:rFonts w:hint="eastAsia" w:ascii="宋体" w:hAnsi="宋体" w:eastAsia="宋体" w:cs="宋体"/>
                <w:i w:val="0"/>
                <w:color w:val="000000"/>
                <w:sz w:val="18"/>
                <w:szCs w:val="18"/>
                <w:u w:val="none"/>
              </w:rPr>
            </w:pPr>
          </w:p>
        </w:tc>
      </w:tr>
      <w:tr w14:paraId="2675B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4" w:hRule="atLeast"/>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DDE9AD6">
            <w:pPr>
              <w:jc w:val="center"/>
              <w:rPr>
                <w:rFonts w:hint="eastAsia" w:ascii="宋体" w:hAnsi="宋体" w:eastAsia="宋体" w:cs="宋体"/>
                <w:i w:val="0"/>
                <w:color w:val="000000"/>
                <w:sz w:val="18"/>
                <w:szCs w:val="18"/>
                <w:u w:val="none"/>
              </w:rPr>
            </w:pPr>
          </w:p>
        </w:tc>
        <w:tc>
          <w:tcPr>
            <w:tcW w:w="1157" w:type="dxa"/>
            <w:tcBorders>
              <w:top w:val="single" w:color="000000" w:sz="4" w:space="0"/>
              <w:left w:val="single" w:color="000000" w:sz="4" w:space="0"/>
              <w:right w:val="single" w:color="000000" w:sz="4" w:space="0"/>
            </w:tcBorders>
            <w:shd w:val="clear" w:color="auto" w:fill="auto"/>
            <w:vAlign w:val="center"/>
          </w:tcPr>
          <w:p w14:paraId="0B7C3F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045" w:type="dxa"/>
            <w:tcBorders>
              <w:top w:val="single" w:color="000000" w:sz="4" w:space="0"/>
              <w:left w:val="single" w:color="000000" w:sz="4" w:space="0"/>
              <w:right w:val="single" w:color="000000" w:sz="4" w:space="0"/>
            </w:tcBorders>
            <w:shd w:val="clear" w:color="auto" w:fill="auto"/>
            <w:vAlign w:val="center"/>
          </w:tcPr>
          <w:p w14:paraId="21515C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687" w:type="dxa"/>
            <w:tcBorders>
              <w:top w:val="single" w:color="000000" w:sz="4" w:space="0"/>
              <w:left w:val="single" w:color="000000" w:sz="4" w:space="0"/>
              <w:right w:val="single" w:color="000000" w:sz="4" w:space="0"/>
            </w:tcBorders>
            <w:shd w:val="clear" w:color="auto" w:fill="auto"/>
            <w:vAlign w:val="center"/>
          </w:tcPr>
          <w:p w14:paraId="252CF9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租赁费</w:t>
            </w:r>
          </w:p>
        </w:tc>
        <w:tc>
          <w:tcPr>
            <w:tcW w:w="1485" w:type="dxa"/>
            <w:tcBorders>
              <w:top w:val="single" w:color="000000" w:sz="4" w:space="0"/>
              <w:left w:val="single" w:color="000000" w:sz="4" w:space="0"/>
              <w:right w:val="single" w:color="000000" w:sz="4" w:space="0"/>
            </w:tcBorders>
            <w:shd w:val="clear" w:color="auto" w:fill="auto"/>
            <w:vAlign w:val="center"/>
          </w:tcPr>
          <w:p w14:paraId="13B196A6">
            <w:pPr>
              <w:jc w:val="center"/>
              <w:rPr>
                <w:rFonts w:hint="eastAsia" w:ascii="宋体" w:hAnsi="宋体" w:eastAsia="宋体" w:cs="宋体"/>
                <w:i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B0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50万元/年</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A0C2">
            <w:pPr>
              <w:jc w:val="center"/>
              <w:rPr>
                <w:rFonts w:hint="eastAsia" w:ascii="宋体" w:hAnsi="宋体" w:eastAsia="宋体" w:cs="宋体"/>
                <w:i w:val="0"/>
                <w:color w:val="000000"/>
                <w:sz w:val="18"/>
                <w:szCs w:val="18"/>
                <w:u w:val="none"/>
              </w:rPr>
            </w:pPr>
          </w:p>
        </w:tc>
      </w:tr>
      <w:tr w14:paraId="50AA7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C8C01DF">
            <w:pPr>
              <w:jc w:val="center"/>
              <w:rPr>
                <w:rFonts w:hint="eastAsia" w:ascii="宋体" w:hAnsi="宋体" w:eastAsia="宋体" w:cs="宋体"/>
                <w:i w:val="0"/>
                <w:color w:val="000000"/>
                <w:sz w:val="18"/>
                <w:szCs w:val="18"/>
                <w:u w:val="none"/>
              </w:rPr>
            </w:pPr>
          </w:p>
        </w:tc>
        <w:tc>
          <w:tcPr>
            <w:tcW w:w="1157" w:type="dxa"/>
            <w:vMerge w:val="restart"/>
            <w:tcBorders>
              <w:top w:val="single" w:color="000000" w:sz="4" w:space="0"/>
              <w:left w:val="single" w:color="000000" w:sz="4" w:space="0"/>
              <w:right w:val="single" w:color="000000" w:sz="4" w:space="0"/>
            </w:tcBorders>
            <w:shd w:val="clear" w:color="auto" w:fill="auto"/>
            <w:vAlign w:val="center"/>
          </w:tcPr>
          <w:p w14:paraId="749AD0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045" w:type="dxa"/>
            <w:vMerge w:val="restart"/>
            <w:tcBorders>
              <w:top w:val="single" w:color="000000" w:sz="4" w:space="0"/>
              <w:left w:val="single" w:color="000000" w:sz="4" w:space="0"/>
              <w:right w:val="single" w:color="000000" w:sz="4" w:space="0"/>
            </w:tcBorders>
            <w:shd w:val="clear" w:color="auto" w:fill="auto"/>
            <w:vAlign w:val="center"/>
          </w:tcPr>
          <w:p w14:paraId="7BE8CF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687" w:type="dxa"/>
            <w:tcBorders>
              <w:top w:val="single" w:color="000000" w:sz="4" w:space="0"/>
              <w:left w:val="single" w:color="000000" w:sz="4" w:space="0"/>
              <w:right w:val="single" w:color="000000" w:sz="4" w:space="0"/>
            </w:tcBorders>
            <w:shd w:val="clear" w:color="auto" w:fill="auto"/>
            <w:vAlign w:val="center"/>
          </w:tcPr>
          <w:p w14:paraId="78E0C8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储备仓库</w:t>
            </w:r>
          </w:p>
        </w:tc>
        <w:tc>
          <w:tcPr>
            <w:tcW w:w="1485" w:type="dxa"/>
            <w:tcBorders>
              <w:top w:val="single" w:color="000000" w:sz="4" w:space="0"/>
              <w:left w:val="single" w:color="000000" w:sz="4" w:space="0"/>
              <w:right w:val="single" w:color="000000" w:sz="4" w:space="0"/>
            </w:tcBorders>
            <w:shd w:val="clear" w:color="auto" w:fill="auto"/>
            <w:vAlign w:val="center"/>
          </w:tcPr>
          <w:p w14:paraId="02438EB9">
            <w:pPr>
              <w:jc w:val="center"/>
              <w:rPr>
                <w:rFonts w:hint="eastAsia" w:ascii="宋体" w:hAnsi="宋体" w:eastAsia="宋体" w:cs="宋体"/>
                <w:i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A90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1650平方米</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5049">
            <w:pPr>
              <w:jc w:val="center"/>
              <w:rPr>
                <w:rFonts w:hint="eastAsia" w:ascii="宋体" w:hAnsi="宋体" w:eastAsia="宋体" w:cs="宋体"/>
                <w:i w:val="0"/>
                <w:color w:val="000000"/>
                <w:sz w:val="18"/>
                <w:szCs w:val="18"/>
                <w:u w:val="none"/>
              </w:rPr>
            </w:pPr>
          </w:p>
        </w:tc>
      </w:tr>
      <w:tr w14:paraId="71815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6" w:hRule="atLeast"/>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A686B35">
            <w:pPr>
              <w:jc w:val="center"/>
              <w:rPr>
                <w:rFonts w:hint="eastAsia" w:ascii="宋体" w:hAnsi="宋体" w:eastAsia="宋体" w:cs="宋体"/>
                <w:i w:val="0"/>
                <w:color w:val="000000"/>
                <w:sz w:val="18"/>
                <w:szCs w:val="18"/>
                <w:u w:val="none"/>
              </w:rPr>
            </w:pPr>
          </w:p>
        </w:tc>
        <w:tc>
          <w:tcPr>
            <w:tcW w:w="1157" w:type="dxa"/>
            <w:vMerge w:val="continue"/>
            <w:tcBorders>
              <w:top w:val="single" w:color="000000" w:sz="4" w:space="0"/>
              <w:left w:val="single" w:color="000000" w:sz="4" w:space="0"/>
              <w:right w:val="single" w:color="000000" w:sz="4" w:space="0"/>
            </w:tcBorders>
            <w:shd w:val="clear" w:color="auto" w:fill="auto"/>
            <w:vAlign w:val="center"/>
          </w:tcPr>
          <w:p w14:paraId="39F9E18A">
            <w:pPr>
              <w:jc w:val="center"/>
              <w:rPr>
                <w:rFonts w:hint="eastAsia" w:ascii="宋体" w:hAnsi="宋体" w:eastAsia="宋体" w:cs="宋体"/>
                <w:i w:val="0"/>
                <w:color w:val="000000"/>
                <w:sz w:val="18"/>
                <w:szCs w:val="18"/>
                <w:u w:val="none"/>
              </w:rPr>
            </w:pPr>
          </w:p>
        </w:tc>
        <w:tc>
          <w:tcPr>
            <w:tcW w:w="1045" w:type="dxa"/>
            <w:vMerge w:val="continue"/>
            <w:tcBorders>
              <w:top w:val="single" w:color="000000" w:sz="4" w:space="0"/>
              <w:left w:val="single" w:color="000000" w:sz="4" w:space="0"/>
              <w:right w:val="single" w:color="000000" w:sz="4" w:space="0"/>
            </w:tcBorders>
            <w:shd w:val="clear" w:color="auto" w:fill="auto"/>
            <w:vAlign w:val="center"/>
          </w:tcPr>
          <w:p w14:paraId="75EDD666">
            <w:pPr>
              <w:jc w:val="center"/>
              <w:rPr>
                <w:rFonts w:hint="eastAsia" w:ascii="宋体" w:hAnsi="宋体" w:eastAsia="宋体" w:cs="宋体"/>
                <w:i w:val="0"/>
                <w:color w:val="000000"/>
                <w:sz w:val="18"/>
                <w:szCs w:val="18"/>
                <w:u w:val="none"/>
              </w:rPr>
            </w:pPr>
          </w:p>
        </w:tc>
        <w:tc>
          <w:tcPr>
            <w:tcW w:w="1687" w:type="dxa"/>
            <w:tcBorders>
              <w:top w:val="single" w:color="000000" w:sz="4" w:space="0"/>
              <w:left w:val="single" w:color="000000" w:sz="4" w:space="0"/>
              <w:right w:val="single" w:color="000000" w:sz="4" w:space="0"/>
            </w:tcBorders>
            <w:shd w:val="clear" w:color="auto" w:fill="auto"/>
            <w:vAlign w:val="center"/>
          </w:tcPr>
          <w:p w14:paraId="102C00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专项资金</w:t>
            </w:r>
          </w:p>
        </w:tc>
        <w:tc>
          <w:tcPr>
            <w:tcW w:w="1485" w:type="dxa"/>
            <w:tcBorders>
              <w:top w:val="single" w:color="000000" w:sz="4" w:space="0"/>
              <w:left w:val="single" w:color="000000" w:sz="4" w:space="0"/>
              <w:right w:val="single" w:color="000000" w:sz="4" w:space="0"/>
            </w:tcBorders>
            <w:shd w:val="clear" w:color="auto" w:fill="auto"/>
            <w:vAlign w:val="center"/>
          </w:tcPr>
          <w:p w14:paraId="06D56A01">
            <w:pPr>
              <w:jc w:val="center"/>
              <w:rPr>
                <w:rFonts w:hint="eastAsia" w:ascii="宋体" w:hAnsi="宋体" w:eastAsia="宋体" w:cs="宋体"/>
                <w:i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DF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2300万元</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1CA8">
            <w:pPr>
              <w:jc w:val="center"/>
              <w:rPr>
                <w:rFonts w:hint="eastAsia" w:ascii="宋体" w:hAnsi="宋体" w:eastAsia="宋体" w:cs="宋体"/>
                <w:i w:val="0"/>
                <w:color w:val="000000"/>
                <w:sz w:val="18"/>
                <w:szCs w:val="18"/>
                <w:u w:val="none"/>
              </w:rPr>
            </w:pPr>
          </w:p>
        </w:tc>
      </w:tr>
      <w:tr w14:paraId="6C2F4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6" w:hRule="atLeast"/>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8546AF0">
            <w:pPr>
              <w:jc w:val="center"/>
              <w:rPr>
                <w:rFonts w:hint="eastAsia" w:ascii="宋体" w:hAnsi="宋体" w:eastAsia="宋体" w:cs="宋体"/>
                <w:i w:val="0"/>
                <w:color w:val="000000"/>
                <w:sz w:val="18"/>
                <w:szCs w:val="18"/>
                <w:u w:val="none"/>
              </w:rPr>
            </w:pPr>
          </w:p>
        </w:tc>
        <w:tc>
          <w:tcPr>
            <w:tcW w:w="1157" w:type="dxa"/>
            <w:vMerge w:val="continue"/>
            <w:tcBorders>
              <w:top w:val="single" w:color="000000" w:sz="4" w:space="0"/>
              <w:left w:val="single" w:color="000000" w:sz="4" w:space="0"/>
              <w:right w:val="single" w:color="000000" w:sz="4" w:space="0"/>
            </w:tcBorders>
            <w:shd w:val="clear" w:color="auto" w:fill="auto"/>
            <w:vAlign w:val="center"/>
          </w:tcPr>
          <w:p w14:paraId="52A57189">
            <w:pPr>
              <w:jc w:val="center"/>
              <w:rPr>
                <w:rFonts w:hint="eastAsia" w:ascii="宋体" w:hAnsi="宋体" w:eastAsia="宋体" w:cs="宋体"/>
                <w:i w:val="0"/>
                <w:color w:val="000000"/>
                <w:sz w:val="18"/>
                <w:szCs w:val="18"/>
                <w:u w:val="none"/>
              </w:rPr>
            </w:pPr>
          </w:p>
        </w:tc>
        <w:tc>
          <w:tcPr>
            <w:tcW w:w="1045" w:type="dxa"/>
            <w:tcBorders>
              <w:top w:val="single" w:color="000000" w:sz="4" w:space="0"/>
              <w:left w:val="single" w:color="000000" w:sz="4" w:space="0"/>
              <w:right w:val="single" w:color="000000" w:sz="4" w:space="0"/>
            </w:tcBorders>
            <w:shd w:val="clear" w:color="auto" w:fill="auto"/>
            <w:vAlign w:val="center"/>
          </w:tcPr>
          <w:p w14:paraId="7D330E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DC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储备仓库</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5B1B">
            <w:pPr>
              <w:jc w:val="center"/>
              <w:rPr>
                <w:rFonts w:hint="eastAsia" w:ascii="宋体" w:hAnsi="宋体" w:eastAsia="宋体" w:cs="宋体"/>
                <w:i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C12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达到省级标准</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3286">
            <w:pPr>
              <w:jc w:val="center"/>
              <w:rPr>
                <w:rFonts w:hint="eastAsia" w:ascii="宋体" w:hAnsi="宋体" w:eastAsia="宋体" w:cs="宋体"/>
                <w:i w:val="0"/>
                <w:color w:val="000000"/>
                <w:sz w:val="18"/>
                <w:szCs w:val="18"/>
                <w:u w:val="none"/>
              </w:rPr>
            </w:pPr>
          </w:p>
        </w:tc>
      </w:tr>
      <w:tr w14:paraId="6BA72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3A309A8">
            <w:pPr>
              <w:jc w:val="center"/>
              <w:rPr>
                <w:rFonts w:hint="eastAsia" w:ascii="宋体" w:hAnsi="宋体" w:eastAsia="宋体" w:cs="宋体"/>
                <w:i w:val="0"/>
                <w:color w:val="000000"/>
                <w:sz w:val="18"/>
                <w:szCs w:val="18"/>
                <w:u w:val="none"/>
              </w:rPr>
            </w:pPr>
          </w:p>
        </w:tc>
        <w:tc>
          <w:tcPr>
            <w:tcW w:w="1157" w:type="dxa"/>
            <w:vMerge w:val="continue"/>
            <w:tcBorders>
              <w:top w:val="single" w:color="000000" w:sz="4" w:space="0"/>
              <w:left w:val="single" w:color="000000" w:sz="4" w:space="0"/>
              <w:right w:val="single" w:color="000000" w:sz="4" w:space="0"/>
            </w:tcBorders>
            <w:shd w:val="clear" w:color="auto" w:fill="auto"/>
            <w:vAlign w:val="center"/>
          </w:tcPr>
          <w:p w14:paraId="19099468">
            <w:pPr>
              <w:jc w:val="center"/>
              <w:rPr>
                <w:rFonts w:hint="eastAsia" w:ascii="宋体" w:hAnsi="宋体" w:eastAsia="宋体" w:cs="宋体"/>
                <w:i w:val="0"/>
                <w:color w:val="000000"/>
                <w:sz w:val="18"/>
                <w:szCs w:val="18"/>
                <w:u w:val="none"/>
              </w:rPr>
            </w:pPr>
          </w:p>
        </w:tc>
        <w:tc>
          <w:tcPr>
            <w:tcW w:w="1045" w:type="dxa"/>
            <w:tcBorders>
              <w:top w:val="single" w:color="000000" w:sz="4" w:space="0"/>
              <w:left w:val="single" w:color="000000" w:sz="4" w:space="0"/>
              <w:right w:val="single" w:color="000000" w:sz="4" w:space="0"/>
            </w:tcBorders>
            <w:shd w:val="clear" w:color="auto" w:fill="auto"/>
            <w:vAlign w:val="center"/>
          </w:tcPr>
          <w:p w14:paraId="12C987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1C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租期</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D1E0">
            <w:pPr>
              <w:jc w:val="center"/>
              <w:rPr>
                <w:rFonts w:hint="eastAsia" w:ascii="宋体" w:hAnsi="宋体" w:eastAsia="宋体" w:cs="宋体"/>
                <w:i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BE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5年</w:t>
            </w:r>
          </w:p>
        </w:tc>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F405">
            <w:pPr>
              <w:jc w:val="center"/>
              <w:rPr>
                <w:rFonts w:hint="eastAsia" w:ascii="宋体" w:hAnsi="宋体" w:eastAsia="宋体" w:cs="宋体"/>
                <w:i w:val="0"/>
                <w:color w:val="000000"/>
                <w:sz w:val="18"/>
                <w:szCs w:val="18"/>
                <w:u w:val="none"/>
              </w:rPr>
            </w:pPr>
          </w:p>
        </w:tc>
      </w:tr>
      <w:tr w14:paraId="35B91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B6393A">
            <w:pPr>
              <w:jc w:val="center"/>
              <w:rPr>
                <w:rFonts w:hint="eastAsia" w:ascii="宋体" w:hAnsi="宋体" w:eastAsia="宋体" w:cs="宋体"/>
                <w:i w:val="0"/>
                <w:color w:val="000000"/>
                <w:sz w:val="18"/>
                <w:szCs w:val="18"/>
                <w:u w:val="none"/>
              </w:rPr>
            </w:pPr>
          </w:p>
        </w:tc>
        <w:tc>
          <w:tcPr>
            <w:tcW w:w="1157" w:type="dxa"/>
            <w:vMerge w:val="restart"/>
            <w:tcBorders>
              <w:top w:val="single" w:color="000000" w:sz="4" w:space="0"/>
              <w:left w:val="single" w:color="000000" w:sz="4" w:space="0"/>
              <w:right w:val="single" w:color="000000" w:sz="4" w:space="0"/>
            </w:tcBorders>
            <w:shd w:val="clear" w:color="auto" w:fill="auto"/>
            <w:vAlign w:val="center"/>
          </w:tcPr>
          <w:p w14:paraId="5A880B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045" w:type="dxa"/>
            <w:tcBorders>
              <w:top w:val="single" w:color="000000" w:sz="4" w:space="0"/>
              <w:left w:val="single" w:color="000000" w:sz="4" w:space="0"/>
              <w:right w:val="single" w:color="000000" w:sz="4" w:space="0"/>
            </w:tcBorders>
            <w:shd w:val="clear" w:color="auto" w:fill="auto"/>
            <w:vAlign w:val="center"/>
          </w:tcPr>
          <w:p w14:paraId="20EC6F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687" w:type="dxa"/>
            <w:tcBorders>
              <w:top w:val="single" w:color="000000" w:sz="4" w:space="0"/>
              <w:left w:val="single" w:color="000000" w:sz="4" w:space="0"/>
              <w:right w:val="single" w:color="000000" w:sz="4" w:space="0"/>
            </w:tcBorders>
            <w:shd w:val="clear" w:color="auto" w:fill="auto"/>
            <w:vAlign w:val="center"/>
          </w:tcPr>
          <w:p w14:paraId="777441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财务收支</w:t>
            </w:r>
          </w:p>
        </w:tc>
        <w:tc>
          <w:tcPr>
            <w:tcW w:w="1485" w:type="dxa"/>
            <w:tcBorders>
              <w:top w:val="single" w:color="000000" w:sz="4" w:space="0"/>
              <w:left w:val="single" w:color="000000" w:sz="4" w:space="0"/>
              <w:right w:val="single" w:color="000000" w:sz="4" w:space="0"/>
            </w:tcBorders>
            <w:shd w:val="clear" w:color="auto" w:fill="auto"/>
            <w:vAlign w:val="center"/>
          </w:tcPr>
          <w:p w14:paraId="4B71D0D4">
            <w:pPr>
              <w:jc w:val="center"/>
              <w:rPr>
                <w:rFonts w:hint="eastAsia" w:ascii="宋体" w:hAnsi="宋体" w:eastAsia="宋体" w:cs="宋体"/>
                <w:i w:val="0"/>
                <w:color w:val="000000"/>
                <w:sz w:val="18"/>
                <w:szCs w:val="18"/>
                <w:u w:val="none"/>
              </w:rPr>
            </w:pPr>
          </w:p>
        </w:tc>
        <w:tc>
          <w:tcPr>
            <w:tcW w:w="1756" w:type="dxa"/>
            <w:tcBorders>
              <w:top w:val="single" w:color="000000" w:sz="4" w:space="0"/>
              <w:left w:val="single" w:color="000000" w:sz="4" w:space="0"/>
              <w:right w:val="single" w:color="000000" w:sz="4" w:space="0"/>
            </w:tcBorders>
            <w:shd w:val="clear" w:color="auto" w:fill="auto"/>
            <w:vAlign w:val="center"/>
          </w:tcPr>
          <w:p w14:paraId="4C69E3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收支平衡</w:t>
            </w:r>
          </w:p>
        </w:tc>
        <w:tc>
          <w:tcPr>
            <w:tcW w:w="1735" w:type="dxa"/>
            <w:tcBorders>
              <w:top w:val="single" w:color="000000" w:sz="4" w:space="0"/>
              <w:left w:val="single" w:color="000000" w:sz="4" w:space="0"/>
              <w:right w:val="single" w:color="000000" w:sz="4" w:space="0"/>
            </w:tcBorders>
            <w:shd w:val="clear" w:color="auto" w:fill="auto"/>
            <w:vAlign w:val="center"/>
          </w:tcPr>
          <w:p w14:paraId="2B1DACC1">
            <w:pPr>
              <w:jc w:val="center"/>
              <w:rPr>
                <w:rFonts w:hint="eastAsia" w:ascii="宋体" w:hAnsi="宋体" w:eastAsia="宋体" w:cs="宋体"/>
                <w:i w:val="0"/>
                <w:color w:val="000000"/>
                <w:sz w:val="18"/>
                <w:szCs w:val="18"/>
                <w:u w:val="none"/>
              </w:rPr>
            </w:pPr>
          </w:p>
        </w:tc>
      </w:tr>
      <w:tr w14:paraId="32F2A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2" w:hRule="atLeast"/>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60C46F">
            <w:pPr>
              <w:jc w:val="center"/>
              <w:rPr>
                <w:rFonts w:hint="eastAsia" w:ascii="宋体" w:hAnsi="宋体" w:eastAsia="宋体" w:cs="宋体"/>
                <w:i w:val="0"/>
                <w:color w:val="000000"/>
                <w:sz w:val="18"/>
                <w:szCs w:val="18"/>
                <w:u w:val="none"/>
              </w:rPr>
            </w:pPr>
          </w:p>
        </w:tc>
        <w:tc>
          <w:tcPr>
            <w:tcW w:w="1157" w:type="dxa"/>
            <w:vMerge w:val="continue"/>
            <w:tcBorders>
              <w:top w:val="single" w:color="000000" w:sz="4" w:space="0"/>
              <w:left w:val="single" w:color="000000" w:sz="4" w:space="0"/>
              <w:right w:val="single" w:color="000000" w:sz="4" w:space="0"/>
            </w:tcBorders>
            <w:shd w:val="clear" w:color="auto" w:fill="auto"/>
            <w:vAlign w:val="center"/>
          </w:tcPr>
          <w:p w14:paraId="3C9DCBAD">
            <w:pPr>
              <w:jc w:val="center"/>
              <w:rPr>
                <w:rFonts w:hint="eastAsia" w:ascii="宋体" w:hAnsi="宋体" w:eastAsia="宋体" w:cs="宋体"/>
                <w:i w:val="0"/>
                <w:color w:val="000000"/>
                <w:sz w:val="18"/>
                <w:szCs w:val="18"/>
                <w:u w:val="none"/>
              </w:rPr>
            </w:pPr>
          </w:p>
        </w:tc>
        <w:tc>
          <w:tcPr>
            <w:tcW w:w="1045" w:type="dxa"/>
            <w:tcBorders>
              <w:top w:val="single" w:color="000000" w:sz="4" w:space="0"/>
              <w:left w:val="single" w:color="000000" w:sz="4" w:space="0"/>
              <w:right w:val="single" w:color="000000" w:sz="4" w:space="0"/>
            </w:tcBorders>
            <w:shd w:val="clear" w:color="auto" w:fill="auto"/>
            <w:vAlign w:val="center"/>
          </w:tcPr>
          <w:p w14:paraId="0A8B2A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687" w:type="dxa"/>
            <w:tcBorders>
              <w:top w:val="single" w:color="000000" w:sz="4" w:space="0"/>
              <w:left w:val="single" w:color="000000" w:sz="4" w:space="0"/>
              <w:right w:val="single" w:color="000000" w:sz="4" w:space="0"/>
            </w:tcBorders>
            <w:shd w:val="clear" w:color="auto" w:fill="auto"/>
            <w:vAlign w:val="center"/>
          </w:tcPr>
          <w:p w14:paraId="710210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医疗应急物资储备</w:t>
            </w:r>
          </w:p>
        </w:tc>
        <w:tc>
          <w:tcPr>
            <w:tcW w:w="1485" w:type="dxa"/>
            <w:tcBorders>
              <w:top w:val="single" w:color="000000" w:sz="4" w:space="0"/>
              <w:left w:val="single" w:color="000000" w:sz="4" w:space="0"/>
              <w:right w:val="single" w:color="000000" w:sz="4" w:space="0"/>
            </w:tcBorders>
            <w:shd w:val="clear" w:color="auto" w:fill="auto"/>
            <w:vAlign w:val="center"/>
          </w:tcPr>
          <w:p w14:paraId="57CA8264">
            <w:pPr>
              <w:jc w:val="center"/>
              <w:rPr>
                <w:rFonts w:hint="eastAsia" w:ascii="宋体" w:hAnsi="宋体" w:eastAsia="宋体" w:cs="宋体"/>
                <w:i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37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满足疫情防控需求</w:t>
            </w:r>
          </w:p>
        </w:tc>
        <w:tc>
          <w:tcPr>
            <w:tcW w:w="1735" w:type="dxa"/>
            <w:tcBorders>
              <w:top w:val="single" w:color="000000" w:sz="4" w:space="0"/>
              <w:left w:val="single" w:color="000000" w:sz="4" w:space="0"/>
              <w:right w:val="single" w:color="000000" w:sz="4" w:space="0"/>
            </w:tcBorders>
            <w:shd w:val="clear" w:color="auto" w:fill="auto"/>
            <w:vAlign w:val="center"/>
          </w:tcPr>
          <w:p w14:paraId="028C6399">
            <w:pPr>
              <w:jc w:val="center"/>
              <w:rPr>
                <w:rFonts w:hint="eastAsia" w:ascii="宋体" w:hAnsi="宋体" w:eastAsia="宋体" w:cs="宋体"/>
                <w:i w:val="0"/>
                <w:color w:val="000000"/>
                <w:sz w:val="18"/>
                <w:szCs w:val="18"/>
                <w:u w:val="none"/>
              </w:rPr>
            </w:pPr>
          </w:p>
        </w:tc>
      </w:tr>
      <w:tr w14:paraId="7F38D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7" w:hRule="atLeast"/>
        </w:trPr>
        <w:tc>
          <w:tcPr>
            <w:tcW w:w="395"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4DA950A">
            <w:pPr>
              <w:jc w:val="center"/>
              <w:rPr>
                <w:rFonts w:hint="eastAsia" w:ascii="宋体" w:hAnsi="宋体" w:eastAsia="宋体" w:cs="宋体"/>
                <w:i w:val="0"/>
                <w:color w:val="000000"/>
                <w:sz w:val="18"/>
                <w:szCs w:val="18"/>
                <w:u w:val="none"/>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81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045" w:type="dxa"/>
            <w:tcBorders>
              <w:top w:val="single" w:color="000000" w:sz="4" w:space="0"/>
              <w:left w:val="single" w:color="000000" w:sz="4" w:space="0"/>
              <w:right w:val="single" w:color="000000" w:sz="4" w:space="0"/>
            </w:tcBorders>
            <w:shd w:val="clear" w:color="auto" w:fill="auto"/>
            <w:vAlign w:val="center"/>
          </w:tcPr>
          <w:p w14:paraId="2339DD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687" w:type="dxa"/>
            <w:tcBorders>
              <w:top w:val="single" w:color="000000" w:sz="4" w:space="0"/>
              <w:left w:val="single" w:color="000000" w:sz="4" w:space="0"/>
              <w:right w:val="single" w:color="000000" w:sz="4" w:space="0"/>
            </w:tcBorders>
            <w:shd w:val="clear" w:color="auto" w:fill="auto"/>
            <w:vAlign w:val="center"/>
          </w:tcPr>
          <w:p w14:paraId="4DACBF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客户满意度</w:t>
            </w:r>
          </w:p>
        </w:tc>
        <w:tc>
          <w:tcPr>
            <w:tcW w:w="1485" w:type="dxa"/>
            <w:tcBorders>
              <w:top w:val="single" w:color="000000" w:sz="4" w:space="0"/>
              <w:left w:val="single" w:color="000000" w:sz="4" w:space="0"/>
              <w:right w:val="single" w:color="000000" w:sz="4" w:space="0"/>
            </w:tcBorders>
            <w:shd w:val="clear" w:color="auto" w:fill="auto"/>
            <w:vAlign w:val="center"/>
          </w:tcPr>
          <w:p w14:paraId="69C6A663">
            <w:pPr>
              <w:jc w:val="center"/>
              <w:rPr>
                <w:rFonts w:hint="eastAsia" w:ascii="宋体" w:hAnsi="宋体" w:eastAsia="宋体" w:cs="宋体"/>
                <w:i w:val="0"/>
                <w:color w:val="000000"/>
                <w:sz w:val="18"/>
                <w:szCs w:val="18"/>
                <w:u w:val="none"/>
              </w:rPr>
            </w:pPr>
          </w:p>
        </w:tc>
        <w:tc>
          <w:tcPr>
            <w:tcW w:w="1756" w:type="dxa"/>
            <w:tcBorders>
              <w:top w:val="single" w:color="000000" w:sz="4" w:space="0"/>
              <w:left w:val="single" w:color="000000" w:sz="4" w:space="0"/>
              <w:right w:val="single" w:color="000000" w:sz="4" w:space="0"/>
            </w:tcBorders>
            <w:shd w:val="clear" w:color="auto" w:fill="auto"/>
            <w:vAlign w:val="center"/>
          </w:tcPr>
          <w:p w14:paraId="490762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90%以上</w:t>
            </w:r>
          </w:p>
        </w:tc>
        <w:tc>
          <w:tcPr>
            <w:tcW w:w="1735" w:type="dxa"/>
            <w:tcBorders>
              <w:top w:val="single" w:color="000000" w:sz="4" w:space="0"/>
              <w:left w:val="single" w:color="000000" w:sz="4" w:space="0"/>
              <w:right w:val="single" w:color="000000" w:sz="4" w:space="0"/>
            </w:tcBorders>
            <w:shd w:val="clear" w:color="auto" w:fill="auto"/>
            <w:vAlign w:val="center"/>
          </w:tcPr>
          <w:p w14:paraId="76689E0C">
            <w:pPr>
              <w:jc w:val="center"/>
              <w:rPr>
                <w:rFonts w:hint="eastAsia" w:ascii="宋体" w:hAnsi="宋体" w:eastAsia="宋体" w:cs="宋体"/>
                <w:i w:val="0"/>
                <w:color w:val="000000"/>
                <w:sz w:val="18"/>
                <w:szCs w:val="18"/>
                <w:u w:val="none"/>
              </w:rPr>
            </w:pPr>
          </w:p>
        </w:tc>
      </w:tr>
      <w:tr w14:paraId="2AFA3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57" w:hRule="atLeast"/>
        </w:trPr>
        <w:tc>
          <w:tcPr>
            <w:tcW w:w="42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F05F0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财政资金管理科室（盖章）</w:t>
            </w:r>
          </w:p>
          <w:p w14:paraId="341702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    月     日</w:t>
            </w:r>
          </w:p>
        </w:tc>
        <w:tc>
          <w:tcPr>
            <w:tcW w:w="49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D2F63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财政绩效管理科室（盖章）</w:t>
            </w:r>
          </w:p>
          <w:p w14:paraId="78875C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    月     日</w:t>
            </w:r>
          </w:p>
        </w:tc>
      </w:tr>
    </w:tbl>
    <w:p w14:paraId="27B4BA69">
      <w:pPr>
        <w:pStyle w:val="6"/>
        <w:keepNext w:val="0"/>
        <w:keepLines w:val="0"/>
        <w:pageBreakBefore w:val="0"/>
        <w:widowControl w:val="0"/>
        <w:numPr>
          <w:ilvl w:val="0"/>
          <w:numId w:val="0"/>
        </w:numPr>
        <w:kinsoku/>
        <w:wordWrap/>
        <w:overflowPunct/>
        <w:topLinePunct w:val="0"/>
        <w:autoSpaceDE/>
        <w:autoSpaceDN/>
        <w:bidi w:val="0"/>
        <w:spacing w:line="460" w:lineRule="atLeast"/>
        <w:jc w:val="both"/>
        <w:textAlignment w:val="auto"/>
        <w:rPr>
          <w:rFonts w:hint="eastAsia" w:ascii="仿宋_GB2312" w:eastAsia="仿宋_GB2312"/>
          <w:b/>
          <w:bCs/>
          <w:color w:val="000000"/>
          <w:sz w:val="36"/>
          <w:szCs w:val="36"/>
          <w:highlight w:val="none"/>
          <w:lang w:val="en-US" w:eastAsia="zh-CN"/>
        </w:rPr>
      </w:pPr>
    </w:p>
    <w:tbl>
      <w:tblPr>
        <w:tblStyle w:val="3"/>
        <w:tblW w:w="8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82"/>
        <w:gridCol w:w="1117"/>
        <w:gridCol w:w="1009"/>
        <w:gridCol w:w="1645"/>
        <w:gridCol w:w="1431"/>
        <w:gridCol w:w="1726"/>
        <w:gridCol w:w="1670"/>
      </w:tblGrid>
      <w:tr w14:paraId="70A40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1" w:hRule="atLeast"/>
        </w:trPr>
        <w:tc>
          <w:tcPr>
            <w:tcW w:w="8980" w:type="dxa"/>
            <w:gridSpan w:val="7"/>
            <w:shd w:val="clear" w:color="auto" w:fill="auto"/>
            <w:vAlign w:val="center"/>
          </w:tcPr>
          <w:p w14:paraId="7F2121C2">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项目支出绩效目标批复表</w:t>
            </w:r>
          </w:p>
        </w:tc>
      </w:tr>
      <w:tr w14:paraId="2B508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1" w:hRule="atLeast"/>
        </w:trPr>
        <w:tc>
          <w:tcPr>
            <w:tcW w:w="8980" w:type="dxa"/>
            <w:gridSpan w:val="7"/>
            <w:shd w:val="clear" w:color="auto" w:fill="auto"/>
            <w:vAlign w:val="center"/>
          </w:tcPr>
          <w:p w14:paraId="42C4A9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14:paraId="622CD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 w:hRule="atLeast"/>
        </w:trPr>
        <w:tc>
          <w:tcPr>
            <w:tcW w:w="8980" w:type="dxa"/>
            <w:gridSpan w:val="7"/>
            <w:tcBorders>
              <w:bottom w:val="single" w:color="000000" w:sz="4" w:space="0"/>
            </w:tcBorders>
            <w:shd w:val="clear" w:color="auto" w:fill="auto"/>
            <w:vAlign w:val="center"/>
          </w:tcPr>
          <w:p w14:paraId="04F46DFA">
            <w:pPr>
              <w:jc w:val="left"/>
              <w:rPr>
                <w:rFonts w:hint="eastAsia" w:ascii="宋体" w:hAnsi="宋体" w:eastAsia="宋体" w:cs="宋体"/>
                <w:i w:val="0"/>
                <w:color w:val="000000"/>
                <w:sz w:val="22"/>
                <w:szCs w:val="22"/>
                <w:u w:val="none"/>
              </w:rPr>
            </w:pPr>
          </w:p>
        </w:tc>
      </w:tr>
      <w:tr w14:paraId="4D51B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9" w:hRule="atLeast"/>
        </w:trPr>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618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AFBA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重点专科建设发展经费</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436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项目负责人</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2D02C">
            <w:pPr>
              <w:jc w:val="center"/>
              <w:rPr>
                <w:rFonts w:hint="eastAsia" w:ascii="宋体" w:hAnsi="宋体" w:eastAsia="宋体" w:cs="宋体"/>
                <w:i w:val="0"/>
                <w:color w:val="000000"/>
                <w:sz w:val="18"/>
                <w:szCs w:val="18"/>
                <w:u w:val="none"/>
              </w:rPr>
            </w:pPr>
          </w:p>
        </w:tc>
      </w:tr>
      <w:tr w14:paraId="5DED5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 w:hRule="atLeast"/>
        </w:trPr>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A10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项目金额</w:t>
            </w:r>
          </w:p>
        </w:tc>
        <w:tc>
          <w:tcPr>
            <w:tcW w:w="2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D35C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300万</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7F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其中：当年市级财政资金</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5C7B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300万</w:t>
            </w:r>
          </w:p>
        </w:tc>
      </w:tr>
      <w:tr w14:paraId="67B13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9" w:hRule="atLeast"/>
        </w:trPr>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F8E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项目主管部门</w:t>
            </w:r>
          </w:p>
        </w:tc>
        <w:tc>
          <w:tcPr>
            <w:tcW w:w="2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7192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黄石市卫生健康委员会</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7E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5122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黄石市卫生健康委员会</w:t>
            </w:r>
          </w:p>
        </w:tc>
      </w:tr>
      <w:tr w14:paraId="179C4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9" w:hRule="atLeast"/>
        </w:trPr>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A4E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项目属性</w:t>
            </w:r>
          </w:p>
        </w:tc>
        <w:tc>
          <w:tcPr>
            <w:tcW w:w="2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7294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持续性项目口   新增性项目■ </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E4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项目期</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683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w:t>
            </w:r>
          </w:p>
        </w:tc>
      </w:tr>
      <w:tr w14:paraId="63B16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9130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年度绩效目标    （文字）</w:t>
            </w:r>
          </w:p>
        </w:tc>
        <w:tc>
          <w:tcPr>
            <w:tcW w:w="74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10D4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深入推进计生转型发展，重点保障计生两扶、监督执法、住院护理险、计生助你行等工作；为身份不明或无力支付费用的急危重伤病患者得到及时救助、有效的救助。保障职称评审等工作正常开展。</w:t>
            </w:r>
          </w:p>
        </w:tc>
      </w:tr>
      <w:tr w14:paraId="3E519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7" w:hRule="atLeast"/>
        </w:trPr>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CCEDC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CEA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F40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82E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3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7F7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5FF5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指标标准或依据</w:t>
            </w:r>
          </w:p>
        </w:tc>
      </w:tr>
      <w:tr w14:paraId="3A3D9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1"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1943ED2">
            <w:pPr>
              <w:jc w:val="center"/>
              <w:rPr>
                <w:rFonts w:hint="eastAsia" w:ascii="宋体" w:hAnsi="宋体" w:eastAsia="宋体" w:cs="宋体"/>
                <w:i w:val="0"/>
                <w:color w:val="000000"/>
                <w:sz w:val="18"/>
                <w:szCs w:val="18"/>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DF8F2">
            <w:pPr>
              <w:jc w:val="center"/>
              <w:rPr>
                <w:rFonts w:hint="eastAsia" w:ascii="宋体" w:hAnsi="宋体" w:eastAsia="宋体" w:cs="宋体"/>
                <w:i w:val="0"/>
                <w:color w:val="000000"/>
                <w:sz w:val="18"/>
                <w:szCs w:val="18"/>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F9C42">
            <w:pPr>
              <w:jc w:val="center"/>
              <w:rPr>
                <w:rFonts w:hint="eastAsia" w:ascii="宋体" w:hAnsi="宋体" w:eastAsia="宋体" w:cs="宋体"/>
                <w:i w:val="0"/>
                <w:color w:val="000000"/>
                <w:sz w:val="18"/>
                <w:szCs w:val="18"/>
                <w:u w:val="none"/>
              </w:rPr>
            </w:pPr>
          </w:p>
        </w:tc>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87F91">
            <w:pPr>
              <w:jc w:val="center"/>
              <w:rPr>
                <w:rFonts w:hint="eastAsia" w:ascii="宋体" w:hAnsi="宋体" w:eastAsia="宋体" w:cs="宋体"/>
                <w:i w:val="0"/>
                <w:color w:val="000000"/>
                <w:sz w:val="18"/>
                <w:szCs w:val="18"/>
                <w:u w:val="none"/>
              </w:rPr>
            </w:pP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5C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2023年实际实现值</w:t>
            </w: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CA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预期2024年实现值</w:t>
            </w: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5FD9D">
            <w:pPr>
              <w:jc w:val="center"/>
              <w:rPr>
                <w:rFonts w:hint="eastAsia" w:ascii="宋体" w:hAnsi="宋体" w:eastAsia="宋体" w:cs="宋体"/>
                <w:i w:val="0"/>
                <w:color w:val="000000"/>
                <w:sz w:val="18"/>
                <w:szCs w:val="18"/>
                <w:u w:val="none"/>
              </w:rPr>
            </w:pPr>
          </w:p>
        </w:tc>
      </w:tr>
      <w:tr w14:paraId="2FDCF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B9144F6">
            <w:pPr>
              <w:jc w:val="center"/>
              <w:rPr>
                <w:rFonts w:hint="eastAsia" w:ascii="宋体" w:hAnsi="宋体" w:eastAsia="宋体" w:cs="宋体"/>
                <w:i w:val="0"/>
                <w:color w:val="000000"/>
                <w:sz w:val="18"/>
                <w:szCs w:val="18"/>
                <w:u w:val="none"/>
              </w:rPr>
            </w:pPr>
          </w:p>
        </w:tc>
        <w:tc>
          <w:tcPr>
            <w:tcW w:w="1117" w:type="dxa"/>
            <w:vMerge w:val="restart"/>
            <w:tcBorders>
              <w:top w:val="single" w:color="000000" w:sz="4" w:space="0"/>
              <w:left w:val="single" w:color="000000" w:sz="4" w:space="0"/>
              <w:right w:val="single" w:color="000000" w:sz="4" w:space="0"/>
            </w:tcBorders>
            <w:shd w:val="clear" w:color="auto" w:fill="auto"/>
            <w:vAlign w:val="center"/>
          </w:tcPr>
          <w:p w14:paraId="0FEAA3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009" w:type="dxa"/>
            <w:vMerge w:val="restart"/>
            <w:tcBorders>
              <w:top w:val="single" w:color="000000" w:sz="4" w:space="0"/>
              <w:left w:val="single" w:color="000000" w:sz="4" w:space="0"/>
              <w:right w:val="single" w:color="000000" w:sz="4" w:space="0"/>
            </w:tcBorders>
            <w:shd w:val="clear" w:color="auto" w:fill="auto"/>
            <w:vAlign w:val="center"/>
          </w:tcPr>
          <w:p w14:paraId="59C970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645" w:type="dxa"/>
            <w:tcBorders>
              <w:top w:val="single" w:color="000000" w:sz="4" w:space="0"/>
              <w:left w:val="single" w:color="000000" w:sz="4" w:space="0"/>
              <w:right w:val="single" w:color="000000" w:sz="4" w:space="0"/>
            </w:tcBorders>
            <w:shd w:val="clear" w:color="auto" w:fill="auto"/>
            <w:vAlign w:val="center"/>
          </w:tcPr>
          <w:p w14:paraId="538750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新创建国家级临床重点专科</w:t>
            </w:r>
          </w:p>
        </w:tc>
        <w:tc>
          <w:tcPr>
            <w:tcW w:w="1431" w:type="dxa"/>
            <w:tcBorders>
              <w:top w:val="single" w:color="000000" w:sz="4" w:space="0"/>
              <w:left w:val="single" w:color="000000" w:sz="4" w:space="0"/>
              <w:right w:val="single" w:color="000000" w:sz="4" w:space="0"/>
            </w:tcBorders>
            <w:shd w:val="clear" w:color="auto" w:fill="auto"/>
            <w:vAlign w:val="center"/>
          </w:tcPr>
          <w:p w14:paraId="3865CDB3">
            <w:pPr>
              <w:jc w:val="center"/>
              <w:rPr>
                <w:rFonts w:hint="eastAsia" w:ascii="宋体" w:hAnsi="宋体" w:eastAsia="宋体" w:cs="宋体"/>
                <w:i w:val="0"/>
                <w:color w:val="000000"/>
                <w:sz w:val="18"/>
                <w:szCs w:val="1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C8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1个</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87E91">
            <w:pPr>
              <w:jc w:val="center"/>
              <w:rPr>
                <w:rFonts w:hint="eastAsia" w:ascii="宋体" w:hAnsi="宋体" w:eastAsia="宋体" w:cs="宋体"/>
                <w:i w:val="0"/>
                <w:color w:val="000000"/>
                <w:sz w:val="18"/>
                <w:szCs w:val="18"/>
                <w:u w:val="none"/>
              </w:rPr>
            </w:pPr>
          </w:p>
        </w:tc>
      </w:tr>
      <w:tr w14:paraId="0F4BC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5"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05517D">
            <w:pPr>
              <w:jc w:val="center"/>
              <w:rPr>
                <w:rFonts w:hint="eastAsia" w:ascii="宋体" w:hAnsi="宋体" w:eastAsia="宋体" w:cs="宋体"/>
                <w:i w:val="0"/>
                <w:color w:val="000000"/>
                <w:sz w:val="18"/>
                <w:szCs w:val="18"/>
                <w:u w:val="none"/>
              </w:rPr>
            </w:pPr>
          </w:p>
        </w:tc>
        <w:tc>
          <w:tcPr>
            <w:tcW w:w="1117" w:type="dxa"/>
            <w:vMerge w:val="continue"/>
            <w:tcBorders>
              <w:top w:val="single" w:color="000000" w:sz="4" w:space="0"/>
              <w:left w:val="single" w:color="000000" w:sz="4" w:space="0"/>
              <w:right w:val="single" w:color="000000" w:sz="4" w:space="0"/>
            </w:tcBorders>
            <w:shd w:val="clear" w:color="auto" w:fill="auto"/>
            <w:vAlign w:val="center"/>
          </w:tcPr>
          <w:p w14:paraId="4D5D3C99">
            <w:pPr>
              <w:jc w:val="center"/>
              <w:rPr>
                <w:rFonts w:hint="eastAsia" w:ascii="宋体" w:hAnsi="宋体" w:eastAsia="宋体" w:cs="宋体"/>
                <w:i w:val="0"/>
                <w:color w:val="000000"/>
                <w:sz w:val="18"/>
                <w:szCs w:val="18"/>
                <w:u w:val="none"/>
              </w:rPr>
            </w:pPr>
          </w:p>
        </w:tc>
        <w:tc>
          <w:tcPr>
            <w:tcW w:w="1009" w:type="dxa"/>
            <w:vMerge w:val="continue"/>
            <w:tcBorders>
              <w:top w:val="single" w:color="000000" w:sz="4" w:space="0"/>
              <w:left w:val="single" w:color="000000" w:sz="4" w:space="0"/>
              <w:right w:val="single" w:color="000000" w:sz="4" w:space="0"/>
            </w:tcBorders>
            <w:shd w:val="clear" w:color="auto" w:fill="auto"/>
            <w:vAlign w:val="center"/>
          </w:tcPr>
          <w:p w14:paraId="34A94762">
            <w:pPr>
              <w:jc w:val="center"/>
              <w:rPr>
                <w:rFonts w:hint="eastAsia" w:ascii="宋体" w:hAnsi="宋体" w:eastAsia="宋体" w:cs="宋体"/>
                <w:i w:val="0"/>
                <w:color w:val="000000"/>
                <w:sz w:val="18"/>
                <w:szCs w:val="18"/>
                <w:u w:val="none"/>
              </w:rPr>
            </w:pPr>
          </w:p>
        </w:tc>
        <w:tc>
          <w:tcPr>
            <w:tcW w:w="1645" w:type="dxa"/>
            <w:tcBorders>
              <w:top w:val="single" w:color="000000" w:sz="4" w:space="0"/>
              <w:left w:val="single" w:color="000000" w:sz="4" w:space="0"/>
              <w:right w:val="single" w:color="000000" w:sz="4" w:space="0"/>
            </w:tcBorders>
            <w:shd w:val="clear" w:color="auto" w:fill="auto"/>
            <w:vAlign w:val="center"/>
          </w:tcPr>
          <w:p w14:paraId="74266B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新创建省级临床重点专科</w:t>
            </w:r>
          </w:p>
        </w:tc>
        <w:tc>
          <w:tcPr>
            <w:tcW w:w="1431" w:type="dxa"/>
            <w:tcBorders>
              <w:top w:val="single" w:color="000000" w:sz="4" w:space="0"/>
              <w:left w:val="single" w:color="000000" w:sz="4" w:space="0"/>
              <w:right w:val="single" w:color="000000" w:sz="4" w:space="0"/>
            </w:tcBorders>
            <w:shd w:val="clear" w:color="auto" w:fill="auto"/>
            <w:vAlign w:val="center"/>
          </w:tcPr>
          <w:p w14:paraId="0D2798E3">
            <w:pPr>
              <w:jc w:val="center"/>
              <w:rPr>
                <w:rFonts w:hint="eastAsia" w:ascii="宋体" w:hAnsi="宋体" w:eastAsia="宋体" w:cs="宋体"/>
                <w:i w:val="0"/>
                <w:color w:val="000000"/>
                <w:sz w:val="18"/>
                <w:szCs w:val="1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A6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8个</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607C">
            <w:pPr>
              <w:jc w:val="center"/>
              <w:rPr>
                <w:rFonts w:hint="eastAsia" w:ascii="宋体" w:hAnsi="宋体" w:eastAsia="宋体" w:cs="宋体"/>
                <w:i w:val="0"/>
                <w:color w:val="000000"/>
                <w:sz w:val="18"/>
                <w:szCs w:val="18"/>
                <w:u w:val="none"/>
              </w:rPr>
            </w:pPr>
          </w:p>
        </w:tc>
      </w:tr>
      <w:tr w14:paraId="1F2F9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AD7ED1A">
            <w:pPr>
              <w:jc w:val="center"/>
              <w:rPr>
                <w:rFonts w:hint="eastAsia" w:ascii="宋体" w:hAnsi="宋体" w:eastAsia="宋体" w:cs="宋体"/>
                <w:i w:val="0"/>
                <w:color w:val="000000"/>
                <w:sz w:val="18"/>
                <w:szCs w:val="18"/>
                <w:u w:val="none"/>
              </w:rPr>
            </w:pPr>
          </w:p>
        </w:tc>
        <w:tc>
          <w:tcPr>
            <w:tcW w:w="1117" w:type="dxa"/>
            <w:vMerge w:val="continue"/>
            <w:tcBorders>
              <w:top w:val="single" w:color="000000" w:sz="4" w:space="0"/>
              <w:left w:val="single" w:color="000000" w:sz="4" w:space="0"/>
              <w:right w:val="single" w:color="000000" w:sz="4" w:space="0"/>
            </w:tcBorders>
            <w:shd w:val="clear" w:color="auto" w:fill="auto"/>
            <w:vAlign w:val="center"/>
          </w:tcPr>
          <w:p w14:paraId="0124A592">
            <w:pPr>
              <w:jc w:val="center"/>
              <w:rPr>
                <w:rFonts w:hint="eastAsia" w:ascii="宋体" w:hAnsi="宋体" w:eastAsia="宋体" w:cs="宋体"/>
                <w:i w:val="0"/>
                <w:color w:val="000000"/>
                <w:sz w:val="18"/>
                <w:szCs w:val="18"/>
                <w:u w:val="none"/>
              </w:rPr>
            </w:pPr>
          </w:p>
        </w:tc>
        <w:tc>
          <w:tcPr>
            <w:tcW w:w="1009" w:type="dxa"/>
            <w:vMerge w:val="restart"/>
            <w:tcBorders>
              <w:top w:val="single" w:color="000000" w:sz="4" w:space="0"/>
              <w:left w:val="single" w:color="000000" w:sz="4" w:space="0"/>
              <w:right w:val="single" w:color="000000" w:sz="4" w:space="0"/>
            </w:tcBorders>
            <w:shd w:val="clear" w:color="auto" w:fill="auto"/>
            <w:vAlign w:val="center"/>
          </w:tcPr>
          <w:p w14:paraId="39BF74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3C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三级公立医院CMI</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9335B">
            <w:pPr>
              <w:jc w:val="center"/>
              <w:rPr>
                <w:rFonts w:hint="eastAsia" w:ascii="宋体" w:hAnsi="宋体" w:eastAsia="宋体" w:cs="宋体"/>
                <w:i w:val="0"/>
                <w:color w:val="000000"/>
                <w:sz w:val="18"/>
                <w:szCs w:val="1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88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A78A">
            <w:pPr>
              <w:jc w:val="center"/>
              <w:rPr>
                <w:rFonts w:hint="eastAsia" w:ascii="宋体" w:hAnsi="宋体" w:eastAsia="宋体" w:cs="宋体"/>
                <w:i w:val="0"/>
                <w:color w:val="000000"/>
                <w:sz w:val="18"/>
                <w:szCs w:val="18"/>
                <w:u w:val="none"/>
              </w:rPr>
            </w:pPr>
          </w:p>
        </w:tc>
      </w:tr>
      <w:tr w14:paraId="61564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1"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81B646D">
            <w:pPr>
              <w:jc w:val="center"/>
              <w:rPr>
                <w:rFonts w:hint="eastAsia" w:ascii="宋体" w:hAnsi="宋体" w:eastAsia="宋体" w:cs="宋体"/>
                <w:i w:val="0"/>
                <w:color w:val="000000"/>
                <w:sz w:val="18"/>
                <w:szCs w:val="18"/>
                <w:u w:val="none"/>
              </w:rPr>
            </w:pPr>
          </w:p>
        </w:tc>
        <w:tc>
          <w:tcPr>
            <w:tcW w:w="1117" w:type="dxa"/>
            <w:vMerge w:val="continue"/>
            <w:tcBorders>
              <w:top w:val="single" w:color="000000" w:sz="4" w:space="0"/>
              <w:left w:val="single" w:color="000000" w:sz="4" w:space="0"/>
              <w:right w:val="single" w:color="000000" w:sz="4" w:space="0"/>
            </w:tcBorders>
            <w:shd w:val="clear" w:color="auto" w:fill="auto"/>
            <w:vAlign w:val="center"/>
          </w:tcPr>
          <w:p w14:paraId="7C4B8672">
            <w:pPr>
              <w:jc w:val="center"/>
              <w:rPr>
                <w:rFonts w:hint="eastAsia" w:ascii="宋体" w:hAnsi="宋体" w:eastAsia="宋体" w:cs="宋体"/>
                <w:i w:val="0"/>
                <w:color w:val="000000"/>
                <w:sz w:val="18"/>
                <w:szCs w:val="18"/>
                <w:u w:val="none"/>
              </w:rPr>
            </w:pPr>
          </w:p>
        </w:tc>
        <w:tc>
          <w:tcPr>
            <w:tcW w:w="1009" w:type="dxa"/>
            <w:vMerge w:val="continue"/>
            <w:tcBorders>
              <w:top w:val="single" w:color="000000" w:sz="4" w:space="0"/>
              <w:left w:val="single" w:color="000000" w:sz="4" w:space="0"/>
              <w:right w:val="single" w:color="000000" w:sz="4" w:space="0"/>
            </w:tcBorders>
            <w:shd w:val="clear" w:color="auto" w:fill="auto"/>
            <w:vAlign w:val="center"/>
          </w:tcPr>
          <w:p w14:paraId="6C4CE32F">
            <w:pPr>
              <w:jc w:val="center"/>
              <w:rPr>
                <w:rFonts w:hint="eastAsia" w:ascii="宋体" w:hAnsi="宋体" w:eastAsia="宋体" w:cs="宋体"/>
                <w:i w:val="0"/>
                <w:color w:val="000000"/>
                <w:sz w:val="18"/>
                <w:szCs w:val="1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E8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三级公立医院DRG组数</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7FC0">
            <w:pPr>
              <w:jc w:val="center"/>
              <w:rPr>
                <w:rFonts w:hint="eastAsia" w:ascii="宋体" w:hAnsi="宋体" w:eastAsia="宋体" w:cs="宋体"/>
                <w:i w:val="0"/>
                <w:color w:val="000000"/>
                <w:sz w:val="18"/>
                <w:szCs w:val="1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33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≥700组</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F97B">
            <w:pPr>
              <w:jc w:val="center"/>
              <w:rPr>
                <w:rFonts w:hint="eastAsia" w:ascii="宋体" w:hAnsi="宋体" w:eastAsia="宋体" w:cs="宋体"/>
                <w:i w:val="0"/>
                <w:color w:val="000000"/>
                <w:sz w:val="18"/>
                <w:szCs w:val="18"/>
                <w:u w:val="none"/>
              </w:rPr>
            </w:pPr>
          </w:p>
        </w:tc>
      </w:tr>
      <w:tr w14:paraId="1FF52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8"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B70493">
            <w:pPr>
              <w:jc w:val="center"/>
              <w:rPr>
                <w:rFonts w:hint="eastAsia" w:ascii="宋体" w:hAnsi="宋体" w:eastAsia="宋体" w:cs="宋体"/>
                <w:i w:val="0"/>
                <w:color w:val="000000"/>
                <w:sz w:val="18"/>
                <w:szCs w:val="18"/>
                <w:u w:val="none"/>
              </w:rPr>
            </w:pPr>
          </w:p>
        </w:tc>
        <w:tc>
          <w:tcPr>
            <w:tcW w:w="1117" w:type="dxa"/>
            <w:vMerge w:val="continue"/>
            <w:tcBorders>
              <w:top w:val="single" w:color="000000" w:sz="4" w:space="0"/>
              <w:left w:val="single" w:color="000000" w:sz="4" w:space="0"/>
              <w:right w:val="single" w:color="000000" w:sz="4" w:space="0"/>
            </w:tcBorders>
            <w:shd w:val="clear" w:color="auto" w:fill="auto"/>
            <w:vAlign w:val="center"/>
          </w:tcPr>
          <w:p w14:paraId="07E41CD5">
            <w:pPr>
              <w:jc w:val="center"/>
              <w:rPr>
                <w:rFonts w:hint="eastAsia" w:ascii="宋体" w:hAnsi="宋体" w:eastAsia="宋体" w:cs="宋体"/>
                <w:i w:val="0"/>
                <w:color w:val="000000"/>
                <w:sz w:val="18"/>
                <w:szCs w:val="18"/>
                <w:u w:val="none"/>
              </w:rPr>
            </w:pPr>
          </w:p>
        </w:tc>
        <w:tc>
          <w:tcPr>
            <w:tcW w:w="1009" w:type="dxa"/>
            <w:tcBorders>
              <w:top w:val="single" w:color="000000" w:sz="4" w:space="0"/>
              <w:left w:val="single" w:color="000000" w:sz="4" w:space="0"/>
              <w:right w:val="single" w:color="000000" w:sz="4" w:space="0"/>
            </w:tcBorders>
            <w:shd w:val="clear" w:color="auto" w:fill="auto"/>
            <w:vAlign w:val="center"/>
          </w:tcPr>
          <w:p w14:paraId="680CCB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1E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工作任务完成及时率</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777E">
            <w:pPr>
              <w:jc w:val="center"/>
              <w:rPr>
                <w:rFonts w:hint="eastAsia" w:ascii="宋体" w:hAnsi="宋体" w:eastAsia="宋体" w:cs="宋体"/>
                <w:i w:val="0"/>
                <w:color w:val="000000"/>
                <w:sz w:val="18"/>
                <w:szCs w:val="1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DB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CA31">
            <w:pPr>
              <w:jc w:val="center"/>
              <w:rPr>
                <w:rFonts w:hint="eastAsia" w:ascii="宋体" w:hAnsi="宋体" w:eastAsia="宋体" w:cs="宋体"/>
                <w:i w:val="0"/>
                <w:color w:val="000000"/>
                <w:sz w:val="18"/>
                <w:szCs w:val="18"/>
                <w:u w:val="none"/>
              </w:rPr>
            </w:pPr>
          </w:p>
        </w:tc>
      </w:tr>
      <w:tr w14:paraId="424FB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9"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8B833AB">
            <w:pPr>
              <w:jc w:val="center"/>
              <w:rPr>
                <w:rFonts w:hint="eastAsia" w:ascii="宋体" w:hAnsi="宋体" w:eastAsia="宋体" w:cs="宋体"/>
                <w:i w:val="0"/>
                <w:color w:val="000000"/>
                <w:sz w:val="18"/>
                <w:szCs w:val="18"/>
                <w:u w:val="none"/>
              </w:rPr>
            </w:pPr>
          </w:p>
        </w:tc>
        <w:tc>
          <w:tcPr>
            <w:tcW w:w="1117" w:type="dxa"/>
            <w:vMerge w:val="restart"/>
            <w:tcBorders>
              <w:left w:val="single" w:color="000000" w:sz="4" w:space="0"/>
              <w:right w:val="single" w:color="000000" w:sz="4" w:space="0"/>
            </w:tcBorders>
            <w:shd w:val="clear" w:color="auto" w:fill="auto"/>
            <w:vAlign w:val="center"/>
          </w:tcPr>
          <w:p w14:paraId="79C5F5F0">
            <w:pPr>
              <w:jc w:val="center"/>
              <w:rPr>
                <w:rFonts w:hint="eastAsia" w:ascii="宋体" w:hAnsi="宋体" w:eastAsia="宋体" w:cs="宋体"/>
                <w:i w:val="0"/>
                <w:color w:val="000000"/>
                <w:sz w:val="18"/>
                <w:szCs w:val="18"/>
                <w:u w:val="none"/>
              </w:rPr>
            </w:pPr>
          </w:p>
        </w:tc>
        <w:tc>
          <w:tcPr>
            <w:tcW w:w="1009" w:type="dxa"/>
            <w:vMerge w:val="restart"/>
            <w:tcBorders>
              <w:top w:val="single" w:color="000000" w:sz="4" w:space="0"/>
              <w:left w:val="single" w:color="000000" w:sz="4" w:space="0"/>
              <w:right w:val="single" w:color="000000" w:sz="4" w:space="0"/>
            </w:tcBorders>
            <w:shd w:val="clear" w:color="auto" w:fill="auto"/>
            <w:vAlign w:val="center"/>
          </w:tcPr>
          <w:p w14:paraId="2A5207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645" w:type="dxa"/>
            <w:tcBorders>
              <w:top w:val="single" w:color="000000" w:sz="4" w:space="0"/>
              <w:left w:val="single" w:color="000000" w:sz="4" w:space="0"/>
              <w:right w:val="single" w:color="000000" w:sz="4" w:space="0"/>
            </w:tcBorders>
            <w:shd w:val="clear" w:color="auto" w:fill="auto"/>
            <w:vAlign w:val="center"/>
          </w:tcPr>
          <w:p w14:paraId="721D51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重大疾病临床诊疗能力水平</w:t>
            </w:r>
          </w:p>
        </w:tc>
        <w:tc>
          <w:tcPr>
            <w:tcW w:w="1431" w:type="dxa"/>
            <w:tcBorders>
              <w:top w:val="single" w:color="000000" w:sz="4" w:space="0"/>
              <w:left w:val="single" w:color="000000" w:sz="4" w:space="0"/>
              <w:right w:val="single" w:color="000000" w:sz="4" w:space="0"/>
            </w:tcBorders>
            <w:shd w:val="clear" w:color="auto" w:fill="auto"/>
            <w:vAlign w:val="center"/>
          </w:tcPr>
          <w:p w14:paraId="1EC40422">
            <w:pPr>
              <w:jc w:val="center"/>
              <w:rPr>
                <w:rFonts w:hint="eastAsia" w:ascii="宋体" w:hAnsi="宋体" w:eastAsia="宋体" w:cs="宋体"/>
                <w:i w:val="0"/>
                <w:color w:val="000000"/>
                <w:sz w:val="18"/>
                <w:szCs w:val="1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08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1670" w:type="dxa"/>
            <w:tcBorders>
              <w:top w:val="single" w:color="000000" w:sz="4" w:space="0"/>
              <w:left w:val="single" w:color="000000" w:sz="4" w:space="0"/>
              <w:right w:val="single" w:color="000000" w:sz="4" w:space="0"/>
            </w:tcBorders>
            <w:shd w:val="clear" w:color="auto" w:fill="auto"/>
            <w:vAlign w:val="center"/>
          </w:tcPr>
          <w:p w14:paraId="1EB5693B">
            <w:pPr>
              <w:jc w:val="center"/>
              <w:rPr>
                <w:rFonts w:hint="eastAsia" w:ascii="宋体" w:hAnsi="宋体" w:eastAsia="宋体" w:cs="宋体"/>
                <w:i w:val="0"/>
                <w:color w:val="000000"/>
                <w:sz w:val="18"/>
                <w:szCs w:val="18"/>
                <w:u w:val="none"/>
              </w:rPr>
            </w:pPr>
          </w:p>
        </w:tc>
      </w:tr>
      <w:tr w14:paraId="689A8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4"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28C72DA">
            <w:pPr>
              <w:jc w:val="center"/>
              <w:rPr>
                <w:rFonts w:hint="eastAsia" w:ascii="宋体" w:hAnsi="宋体" w:eastAsia="宋体" w:cs="宋体"/>
                <w:i w:val="0"/>
                <w:color w:val="000000"/>
                <w:sz w:val="18"/>
                <w:szCs w:val="18"/>
                <w:u w:val="none"/>
              </w:rPr>
            </w:pPr>
          </w:p>
        </w:tc>
        <w:tc>
          <w:tcPr>
            <w:tcW w:w="1117" w:type="dxa"/>
            <w:vMerge w:val="continue"/>
            <w:tcBorders>
              <w:left w:val="single" w:color="000000" w:sz="4" w:space="0"/>
              <w:right w:val="single" w:color="000000" w:sz="4" w:space="0"/>
            </w:tcBorders>
            <w:shd w:val="clear" w:color="auto" w:fill="auto"/>
            <w:vAlign w:val="center"/>
          </w:tcPr>
          <w:p w14:paraId="46BBD118">
            <w:pPr>
              <w:jc w:val="center"/>
              <w:rPr>
                <w:rFonts w:hint="eastAsia" w:ascii="宋体" w:hAnsi="宋体" w:eastAsia="宋体" w:cs="宋体"/>
                <w:i w:val="0"/>
                <w:color w:val="000000"/>
                <w:sz w:val="18"/>
                <w:szCs w:val="18"/>
                <w:u w:val="none"/>
              </w:rPr>
            </w:pPr>
          </w:p>
        </w:tc>
        <w:tc>
          <w:tcPr>
            <w:tcW w:w="1009" w:type="dxa"/>
            <w:vMerge w:val="continue"/>
            <w:tcBorders>
              <w:top w:val="single" w:color="000000" w:sz="4" w:space="0"/>
              <w:left w:val="single" w:color="000000" w:sz="4" w:space="0"/>
              <w:right w:val="single" w:color="000000" w:sz="4" w:space="0"/>
            </w:tcBorders>
            <w:shd w:val="clear" w:color="auto" w:fill="auto"/>
            <w:vAlign w:val="center"/>
          </w:tcPr>
          <w:p w14:paraId="50D5979D">
            <w:pPr>
              <w:jc w:val="center"/>
              <w:rPr>
                <w:rFonts w:hint="eastAsia" w:ascii="宋体" w:hAnsi="宋体" w:eastAsia="宋体" w:cs="宋体"/>
                <w:i w:val="0"/>
                <w:color w:val="000000"/>
                <w:sz w:val="18"/>
                <w:szCs w:val="18"/>
                <w:u w:val="none"/>
              </w:rPr>
            </w:pPr>
          </w:p>
        </w:tc>
        <w:tc>
          <w:tcPr>
            <w:tcW w:w="1645" w:type="dxa"/>
            <w:tcBorders>
              <w:top w:val="single" w:color="000000" w:sz="4" w:space="0"/>
              <w:left w:val="single" w:color="000000" w:sz="4" w:space="0"/>
              <w:right w:val="single" w:color="000000" w:sz="4" w:space="0"/>
            </w:tcBorders>
            <w:shd w:val="clear" w:color="auto" w:fill="auto"/>
            <w:vAlign w:val="center"/>
          </w:tcPr>
          <w:p w14:paraId="633790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促进全市医疗卫生事业高质量发展，黄石市医疗服务能力及区域地位</w:t>
            </w:r>
          </w:p>
        </w:tc>
        <w:tc>
          <w:tcPr>
            <w:tcW w:w="1431" w:type="dxa"/>
            <w:tcBorders>
              <w:top w:val="single" w:color="000000" w:sz="4" w:space="0"/>
              <w:left w:val="single" w:color="000000" w:sz="4" w:space="0"/>
              <w:right w:val="single" w:color="000000" w:sz="4" w:space="0"/>
            </w:tcBorders>
            <w:shd w:val="clear" w:color="auto" w:fill="auto"/>
            <w:vAlign w:val="center"/>
          </w:tcPr>
          <w:p w14:paraId="121F5914">
            <w:pPr>
              <w:jc w:val="center"/>
              <w:rPr>
                <w:rFonts w:hint="eastAsia" w:ascii="宋体" w:hAnsi="宋体" w:eastAsia="宋体" w:cs="宋体"/>
                <w:i w:val="0"/>
                <w:color w:val="000000"/>
                <w:sz w:val="18"/>
                <w:szCs w:val="18"/>
                <w:u w:val="none"/>
              </w:rPr>
            </w:pPr>
          </w:p>
        </w:tc>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8A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提升</w:t>
            </w:r>
          </w:p>
        </w:tc>
        <w:tc>
          <w:tcPr>
            <w:tcW w:w="1670" w:type="dxa"/>
            <w:tcBorders>
              <w:top w:val="single" w:color="000000" w:sz="4" w:space="0"/>
              <w:left w:val="single" w:color="000000" w:sz="4" w:space="0"/>
              <w:right w:val="single" w:color="000000" w:sz="4" w:space="0"/>
            </w:tcBorders>
            <w:shd w:val="clear" w:color="auto" w:fill="auto"/>
            <w:vAlign w:val="center"/>
          </w:tcPr>
          <w:p w14:paraId="0645C58D">
            <w:pPr>
              <w:jc w:val="center"/>
              <w:rPr>
                <w:rFonts w:hint="eastAsia" w:ascii="宋体" w:hAnsi="宋体" w:eastAsia="宋体" w:cs="宋体"/>
                <w:i w:val="0"/>
                <w:color w:val="000000"/>
                <w:sz w:val="18"/>
                <w:szCs w:val="18"/>
                <w:u w:val="none"/>
              </w:rPr>
            </w:pPr>
          </w:p>
        </w:tc>
      </w:tr>
      <w:tr w14:paraId="78377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9"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AFE686E">
            <w:pPr>
              <w:jc w:val="center"/>
              <w:rPr>
                <w:rFonts w:hint="eastAsia" w:ascii="宋体" w:hAnsi="宋体" w:eastAsia="宋体" w:cs="宋体"/>
                <w:i w:val="0"/>
                <w:color w:val="000000"/>
                <w:sz w:val="18"/>
                <w:szCs w:val="18"/>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FA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009" w:type="dxa"/>
            <w:tcBorders>
              <w:top w:val="single" w:color="000000" w:sz="4" w:space="0"/>
              <w:left w:val="single" w:color="000000" w:sz="4" w:space="0"/>
              <w:right w:val="single" w:color="000000" w:sz="4" w:space="0"/>
            </w:tcBorders>
            <w:shd w:val="clear" w:color="auto" w:fill="auto"/>
            <w:vAlign w:val="center"/>
          </w:tcPr>
          <w:p w14:paraId="4CD402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645" w:type="dxa"/>
            <w:tcBorders>
              <w:top w:val="single" w:color="000000" w:sz="4" w:space="0"/>
              <w:left w:val="single" w:color="000000" w:sz="4" w:space="0"/>
              <w:right w:val="single" w:color="000000" w:sz="4" w:space="0"/>
            </w:tcBorders>
            <w:shd w:val="clear" w:color="auto" w:fill="auto"/>
            <w:vAlign w:val="center"/>
          </w:tcPr>
          <w:p w14:paraId="1603F6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公立医院住院患者满意度</w:t>
            </w:r>
          </w:p>
        </w:tc>
        <w:tc>
          <w:tcPr>
            <w:tcW w:w="1431" w:type="dxa"/>
            <w:tcBorders>
              <w:top w:val="single" w:color="000000" w:sz="4" w:space="0"/>
              <w:left w:val="single" w:color="000000" w:sz="4" w:space="0"/>
              <w:right w:val="single" w:color="000000" w:sz="4" w:space="0"/>
            </w:tcBorders>
            <w:shd w:val="clear" w:color="auto" w:fill="auto"/>
            <w:vAlign w:val="center"/>
          </w:tcPr>
          <w:p w14:paraId="18284EF8">
            <w:pPr>
              <w:jc w:val="center"/>
              <w:rPr>
                <w:rFonts w:hint="eastAsia" w:ascii="宋体" w:hAnsi="宋体" w:eastAsia="宋体" w:cs="宋体"/>
                <w:i w:val="0"/>
                <w:color w:val="000000"/>
                <w:sz w:val="18"/>
                <w:szCs w:val="18"/>
                <w:u w:val="none"/>
              </w:rPr>
            </w:pPr>
          </w:p>
        </w:tc>
        <w:tc>
          <w:tcPr>
            <w:tcW w:w="1726" w:type="dxa"/>
            <w:tcBorders>
              <w:top w:val="single" w:color="000000" w:sz="4" w:space="0"/>
              <w:left w:val="single" w:color="000000" w:sz="4" w:space="0"/>
              <w:right w:val="single" w:color="000000" w:sz="4" w:space="0"/>
            </w:tcBorders>
            <w:shd w:val="clear" w:color="auto" w:fill="auto"/>
            <w:vAlign w:val="center"/>
          </w:tcPr>
          <w:p w14:paraId="41215C53">
            <w:pPr>
              <w:keepNext w:val="0"/>
              <w:keepLines w:val="0"/>
              <w:widowControl/>
              <w:suppressLineNumbers w:val="0"/>
              <w:jc w:val="center"/>
              <w:textAlignment w:val="center"/>
              <w:rPr>
                <w:rFonts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91.71%</w:t>
            </w:r>
          </w:p>
        </w:tc>
        <w:tc>
          <w:tcPr>
            <w:tcW w:w="1670" w:type="dxa"/>
            <w:tcBorders>
              <w:top w:val="single" w:color="000000" w:sz="4" w:space="0"/>
              <w:left w:val="single" w:color="000000" w:sz="4" w:space="0"/>
              <w:right w:val="single" w:color="000000" w:sz="4" w:space="0"/>
            </w:tcBorders>
            <w:shd w:val="clear" w:color="auto" w:fill="auto"/>
            <w:vAlign w:val="center"/>
          </w:tcPr>
          <w:p w14:paraId="591E54BB">
            <w:pPr>
              <w:jc w:val="center"/>
              <w:rPr>
                <w:rFonts w:hint="eastAsia" w:ascii="宋体" w:hAnsi="宋体" w:eastAsia="宋体" w:cs="宋体"/>
                <w:i w:val="0"/>
                <w:color w:val="000000"/>
                <w:sz w:val="18"/>
                <w:szCs w:val="18"/>
                <w:u w:val="none"/>
              </w:rPr>
            </w:pPr>
          </w:p>
        </w:tc>
      </w:tr>
      <w:tr w14:paraId="27404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8" w:hRule="atLeast"/>
        </w:trPr>
        <w:tc>
          <w:tcPr>
            <w:tcW w:w="41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7F7D5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财政资金管理科室（盖章）</w:t>
            </w:r>
          </w:p>
          <w:p w14:paraId="4263C8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    月     日</w:t>
            </w:r>
          </w:p>
        </w:tc>
        <w:tc>
          <w:tcPr>
            <w:tcW w:w="48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C33C5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财政绩效管理科室（盖章）</w:t>
            </w:r>
          </w:p>
          <w:p w14:paraId="24CD0B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    月     日</w:t>
            </w:r>
          </w:p>
        </w:tc>
      </w:tr>
    </w:tbl>
    <w:p w14:paraId="7027C581">
      <w:pPr>
        <w:pStyle w:val="6"/>
        <w:keepNext w:val="0"/>
        <w:keepLines w:val="0"/>
        <w:pageBreakBefore w:val="0"/>
        <w:widowControl w:val="0"/>
        <w:numPr>
          <w:ilvl w:val="0"/>
          <w:numId w:val="0"/>
        </w:numPr>
        <w:kinsoku/>
        <w:wordWrap/>
        <w:overflowPunct/>
        <w:topLinePunct w:val="0"/>
        <w:autoSpaceDE/>
        <w:autoSpaceDN/>
        <w:bidi w:val="0"/>
        <w:spacing w:line="460" w:lineRule="atLeast"/>
        <w:jc w:val="both"/>
        <w:textAlignment w:val="auto"/>
        <w:rPr>
          <w:rFonts w:hint="eastAsia" w:ascii="仿宋_GB2312" w:eastAsia="仿宋_GB2312"/>
          <w:b/>
          <w:bCs/>
          <w:color w:val="000000"/>
          <w:sz w:val="36"/>
          <w:szCs w:val="36"/>
          <w:highlight w:val="none"/>
          <w:lang w:val="en-US" w:eastAsia="zh-CN"/>
        </w:rPr>
      </w:pPr>
    </w:p>
    <w:p w14:paraId="47A637F5">
      <w:pPr>
        <w:pStyle w:val="6"/>
        <w:keepNext w:val="0"/>
        <w:keepLines w:val="0"/>
        <w:pageBreakBefore w:val="0"/>
        <w:widowControl w:val="0"/>
        <w:numPr>
          <w:ilvl w:val="0"/>
          <w:numId w:val="0"/>
        </w:numPr>
        <w:kinsoku/>
        <w:wordWrap/>
        <w:overflowPunct/>
        <w:topLinePunct w:val="0"/>
        <w:autoSpaceDE/>
        <w:autoSpaceDN/>
        <w:bidi w:val="0"/>
        <w:spacing w:line="460" w:lineRule="atLeast"/>
        <w:ind w:left="0" w:leftChars="0" w:firstLine="640"/>
        <w:jc w:val="both"/>
        <w:textAlignment w:val="auto"/>
        <w:rPr>
          <w:rFonts w:hint="eastAsia" w:ascii="仿宋_GB2312" w:eastAsia="仿宋_GB2312"/>
          <w:b/>
          <w:bCs/>
          <w:color w:val="000000"/>
          <w:sz w:val="36"/>
          <w:szCs w:val="36"/>
          <w:highlight w:val="none"/>
          <w:lang w:val="en-US" w:eastAsia="zh-CN"/>
        </w:rPr>
      </w:pPr>
    </w:p>
    <w:tbl>
      <w:tblPr>
        <w:tblStyle w:val="3"/>
        <w:tblW w:w="9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92"/>
        <w:gridCol w:w="1148"/>
        <w:gridCol w:w="1037"/>
        <w:gridCol w:w="1691"/>
        <w:gridCol w:w="1472"/>
        <w:gridCol w:w="1742"/>
        <w:gridCol w:w="1718"/>
      </w:tblGrid>
      <w:tr w14:paraId="57A22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5" w:hRule="atLeast"/>
        </w:trPr>
        <w:tc>
          <w:tcPr>
            <w:tcW w:w="9200" w:type="dxa"/>
            <w:gridSpan w:val="7"/>
            <w:shd w:val="clear" w:color="auto" w:fill="auto"/>
            <w:vAlign w:val="center"/>
          </w:tcPr>
          <w:p w14:paraId="4A5A84B9">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项目支出绩效目标批复表</w:t>
            </w:r>
          </w:p>
        </w:tc>
      </w:tr>
      <w:tr w14:paraId="1AA5C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2" w:hRule="atLeast"/>
        </w:trPr>
        <w:tc>
          <w:tcPr>
            <w:tcW w:w="9200" w:type="dxa"/>
            <w:gridSpan w:val="7"/>
            <w:shd w:val="clear" w:color="auto" w:fill="auto"/>
            <w:vAlign w:val="center"/>
          </w:tcPr>
          <w:p w14:paraId="56E647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14:paraId="04DD3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trPr>
        <w:tc>
          <w:tcPr>
            <w:tcW w:w="9200" w:type="dxa"/>
            <w:gridSpan w:val="7"/>
            <w:tcBorders>
              <w:bottom w:val="single" w:color="000000" w:sz="4" w:space="0"/>
            </w:tcBorders>
            <w:shd w:val="clear" w:color="auto" w:fill="auto"/>
            <w:vAlign w:val="center"/>
          </w:tcPr>
          <w:p w14:paraId="7348DFFF">
            <w:pPr>
              <w:jc w:val="left"/>
              <w:rPr>
                <w:rFonts w:hint="eastAsia" w:ascii="宋体" w:hAnsi="宋体" w:eastAsia="宋体" w:cs="宋体"/>
                <w:i w:val="0"/>
                <w:color w:val="000000"/>
                <w:sz w:val="22"/>
                <w:szCs w:val="22"/>
                <w:u w:val="none"/>
              </w:rPr>
            </w:pPr>
          </w:p>
        </w:tc>
      </w:tr>
      <w:tr w14:paraId="6CA60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 w:hRule="atLeast"/>
        </w:trPr>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909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DCAB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黄石市干部保健工作经费</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D4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项目负责人</w:t>
            </w:r>
          </w:p>
        </w:tc>
        <w:tc>
          <w:tcPr>
            <w:tcW w:w="3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5CE01">
            <w:pPr>
              <w:jc w:val="center"/>
              <w:rPr>
                <w:rFonts w:hint="eastAsia" w:ascii="宋体" w:hAnsi="宋体" w:eastAsia="宋体" w:cs="宋体"/>
                <w:i w:val="0"/>
                <w:color w:val="000000"/>
                <w:sz w:val="18"/>
                <w:szCs w:val="18"/>
                <w:u w:val="none"/>
              </w:rPr>
            </w:pPr>
          </w:p>
        </w:tc>
      </w:tr>
      <w:tr w14:paraId="0EF72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5" w:hRule="atLeast"/>
        </w:trPr>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4FF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项目金额</w:t>
            </w: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13C5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30万</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DA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其中：当年市级财政资金</w:t>
            </w:r>
          </w:p>
        </w:tc>
        <w:tc>
          <w:tcPr>
            <w:tcW w:w="34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C4BC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30万</w:t>
            </w:r>
          </w:p>
        </w:tc>
      </w:tr>
      <w:tr w14:paraId="34855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 w:hRule="atLeast"/>
        </w:trPr>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ADB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项目主管部门</w:t>
            </w: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49C5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黄石市卫生健康委员会</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84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34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F4C9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黄石市卫生健康委员会</w:t>
            </w:r>
          </w:p>
        </w:tc>
      </w:tr>
      <w:tr w14:paraId="012B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6" w:hRule="atLeast"/>
        </w:trPr>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BA6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项目属性</w:t>
            </w:r>
          </w:p>
        </w:tc>
        <w:tc>
          <w:tcPr>
            <w:tcW w:w="2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15DA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持续性项目■    新增性项目口</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BE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项目期</w:t>
            </w:r>
          </w:p>
        </w:tc>
        <w:tc>
          <w:tcPr>
            <w:tcW w:w="3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E0E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w:t>
            </w:r>
          </w:p>
        </w:tc>
      </w:tr>
      <w:tr w14:paraId="30EA8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5" w:hRule="atLeast"/>
        </w:trPr>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A5E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年度绩效目标    （文字）</w:t>
            </w:r>
          </w:p>
        </w:tc>
        <w:tc>
          <w:tcPr>
            <w:tcW w:w="7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70A4A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全面提高保健对象特别是重点保健对象的健康水平和保健意识。</w:t>
            </w:r>
          </w:p>
        </w:tc>
      </w:tr>
      <w:tr w14:paraId="7D846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trPr>
        <w:tc>
          <w:tcPr>
            <w:tcW w:w="39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70C09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2D2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6002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71A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32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C0F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32A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指标标准或依据</w:t>
            </w:r>
          </w:p>
        </w:tc>
      </w:tr>
      <w:tr w14:paraId="03D60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1"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05B2251">
            <w:pPr>
              <w:jc w:val="center"/>
              <w:rPr>
                <w:rFonts w:hint="eastAsia" w:ascii="宋体" w:hAnsi="宋体" w:eastAsia="宋体" w:cs="宋体"/>
                <w:i w:val="0"/>
                <w:color w:val="000000"/>
                <w:sz w:val="18"/>
                <w:szCs w:val="18"/>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FEA1E">
            <w:pPr>
              <w:jc w:val="center"/>
              <w:rPr>
                <w:rFonts w:hint="eastAsia" w:ascii="宋体" w:hAnsi="宋体" w:eastAsia="宋体" w:cs="宋体"/>
                <w:i w:val="0"/>
                <w:color w:val="000000"/>
                <w:sz w:val="18"/>
                <w:szCs w:val="18"/>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DC342">
            <w:pPr>
              <w:jc w:val="center"/>
              <w:rPr>
                <w:rFonts w:hint="eastAsia" w:ascii="宋体" w:hAnsi="宋体" w:eastAsia="宋体" w:cs="宋体"/>
                <w:i w:val="0"/>
                <w:color w:val="000000"/>
                <w:sz w:val="18"/>
                <w:szCs w:val="18"/>
                <w:u w:val="none"/>
              </w:rPr>
            </w:pPr>
          </w:p>
        </w:tc>
        <w:tc>
          <w:tcPr>
            <w:tcW w:w="1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B6436">
            <w:pPr>
              <w:jc w:val="cente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82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2022年实际实现值</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D6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预期2023年实现值</w:t>
            </w:r>
          </w:p>
        </w:tc>
        <w:tc>
          <w:tcPr>
            <w:tcW w:w="1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15921">
            <w:pPr>
              <w:jc w:val="center"/>
              <w:rPr>
                <w:rFonts w:hint="eastAsia" w:ascii="宋体" w:hAnsi="宋体" w:eastAsia="宋体" w:cs="宋体"/>
                <w:i w:val="0"/>
                <w:color w:val="000000"/>
                <w:sz w:val="18"/>
                <w:szCs w:val="18"/>
                <w:u w:val="none"/>
              </w:rPr>
            </w:pPr>
          </w:p>
        </w:tc>
      </w:tr>
      <w:tr w14:paraId="22647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36"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75ED852">
            <w:pPr>
              <w:jc w:val="center"/>
              <w:rPr>
                <w:rFonts w:hint="eastAsia" w:ascii="宋体" w:hAnsi="宋体" w:eastAsia="宋体" w:cs="宋体"/>
                <w:i w:val="0"/>
                <w:color w:val="000000"/>
                <w:sz w:val="18"/>
                <w:szCs w:val="18"/>
                <w:u w:val="none"/>
              </w:rPr>
            </w:pPr>
          </w:p>
        </w:tc>
        <w:tc>
          <w:tcPr>
            <w:tcW w:w="1148" w:type="dxa"/>
            <w:vMerge w:val="restart"/>
            <w:tcBorders>
              <w:top w:val="single" w:color="000000" w:sz="4" w:space="0"/>
              <w:left w:val="single" w:color="000000" w:sz="4" w:space="0"/>
              <w:right w:val="single" w:color="000000" w:sz="4" w:space="0"/>
            </w:tcBorders>
            <w:shd w:val="clear" w:color="auto" w:fill="auto"/>
            <w:vAlign w:val="center"/>
          </w:tcPr>
          <w:p w14:paraId="654050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037" w:type="dxa"/>
            <w:tcBorders>
              <w:top w:val="single" w:color="000000" w:sz="4" w:space="0"/>
              <w:left w:val="single" w:color="000000" w:sz="4" w:space="0"/>
              <w:right w:val="single" w:color="000000" w:sz="4" w:space="0"/>
            </w:tcBorders>
            <w:shd w:val="clear" w:color="auto" w:fill="auto"/>
            <w:vAlign w:val="center"/>
          </w:tcPr>
          <w:p w14:paraId="2C0E12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691" w:type="dxa"/>
            <w:tcBorders>
              <w:top w:val="single" w:color="000000" w:sz="4" w:space="0"/>
              <w:left w:val="single" w:color="000000" w:sz="4" w:space="0"/>
              <w:right w:val="single" w:color="000000" w:sz="4" w:space="0"/>
            </w:tcBorders>
            <w:shd w:val="clear" w:color="auto" w:fill="auto"/>
            <w:vAlign w:val="center"/>
          </w:tcPr>
          <w:p w14:paraId="622472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重点保障对象</w:t>
            </w:r>
          </w:p>
        </w:tc>
        <w:tc>
          <w:tcPr>
            <w:tcW w:w="1472" w:type="dxa"/>
            <w:tcBorders>
              <w:top w:val="single" w:color="000000" w:sz="4" w:space="0"/>
              <w:left w:val="single" w:color="000000" w:sz="4" w:space="0"/>
              <w:right w:val="single" w:color="000000" w:sz="4" w:space="0"/>
            </w:tcBorders>
            <w:shd w:val="clear" w:color="auto" w:fill="auto"/>
            <w:vAlign w:val="center"/>
          </w:tcPr>
          <w:p w14:paraId="7C85B460">
            <w:pPr>
              <w:jc w:val="center"/>
              <w:rPr>
                <w:rFonts w:hint="eastAsia" w:ascii="宋体" w:hAnsi="宋体" w:eastAsia="宋体" w:cs="宋体"/>
                <w:i w:val="0"/>
                <w:color w:val="000000"/>
                <w:sz w:val="18"/>
                <w:szCs w:val="18"/>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1E0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90人/次</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EF55">
            <w:pPr>
              <w:jc w:val="center"/>
              <w:rPr>
                <w:rFonts w:hint="eastAsia" w:ascii="宋体" w:hAnsi="宋体" w:eastAsia="宋体" w:cs="宋体"/>
                <w:i w:val="0"/>
                <w:color w:val="000000"/>
                <w:sz w:val="18"/>
                <w:szCs w:val="18"/>
                <w:u w:val="none"/>
              </w:rPr>
            </w:pPr>
          </w:p>
        </w:tc>
      </w:tr>
      <w:tr w14:paraId="6820C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1"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45F994A">
            <w:pPr>
              <w:jc w:val="center"/>
              <w:rPr>
                <w:rFonts w:hint="eastAsia" w:ascii="宋体" w:hAnsi="宋体" w:eastAsia="宋体" w:cs="宋体"/>
                <w:i w:val="0"/>
                <w:color w:val="000000"/>
                <w:sz w:val="18"/>
                <w:szCs w:val="18"/>
                <w:u w:val="none"/>
              </w:rPr>
            </w:pPr>
          </w:p>
        </w:tc>
        <w:tc>
          <w:tcPr>
            <w:tcW w:w="1148" w:type="dxa"/>
            <w:vMerge w:val="continue"/>
            <w:tcBorders>
              <w:top w:val="single" w:color="000000" w:sz="4" w:space="0"/>
              <w:left w:val="single" w:color="000000" w:sz="4" w:space="0"/>
              <w:right w:val="single" w:color="000000" w:sz="4" w:space="0"/>
            </w:tcBorders>
            <w:shd w:val="clear" w:color="auto" w:fill="auto"/>
            <w:vAlign w:val="center"/>
          </w:tcPr>
          <w:p w14:paraId="6AE635BD">
            <w:pPr>
              <w:jc w:val="center"/>
              <w:rPr>
                <w:rFonts w:hint="eastAsia" w:ascii="宋体" w:hAnsi="宋体" w:eastAsia="宋体" w:cs="宋体"/>
                <w:i w:val="0"/>
                <w:color w:val="000000"/>
                <w:sz w:val="18"/>
                <w:szCs w:val="18"/>
                <w:u w:val="none"/>
              </w:rPr>
            </w:pPr>
          </w:p>
        </w:tc>
        <w:tc>
          <w:tcPr>
            <w:tcW w:w="1037" w:type="dxa"/>
            <w:tcBorders>
              <w:top w:val="single" w:color="000000" w:sz="4" w:space="0"/>
              <w:left w:val="single" w:color="000000" w:sz="4" w:space="0"/>
              <w:right w:val="single" w:color="000000" w:sz="4" w:space="0"/>
            </w:tcBorders>
            <w:shd w:val="clear" w:color="auto" w:fill="auto"/>
            <w:vAlign w:val="center"/>
          </w:tcPr>
          <w:p w14:paraId="07BBE5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90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提高保健工作管理水平</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AA76">
            <w:pPr>
              <w:jc w:val="center"/>
              <w:rPr>
                <w:rFonts w:hint="eastAsia" w:ascii="宋体" w:hAnsi="宋体" w:eastAsia="宋体" w:cs="宋体"/>
                <w:i w:val="0"/>
                <w:color w:val="000000"/>
                <w:sz w:val="18"/>
                <w:szCs w:val="18"/>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9D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提高</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BE17">
            <w:pPr>
              <w:jc w:val="center"/>
              <w:rPr>
                <w:rFonts w:hint="eastAsia" w:ascii="宋体" w:hAnsi="宋体" w:eastAsia="宋体" w:cs="宋体"/>
                <w:i w:val="0"/>
                <w:color w:val="000000"/>
                <w:sz w:val="18"/>
                <w:szCs w:val="18"/>
                <w:u w:val="none"/>
              </w:rPr>
            </w:pPr>
          </w:p>
        </w:tc>
      </w:tr>
      <w:tr w14:paraId="55099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1"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B45845A">
            <w:pPr>
              <w:jc w:val="center"/>
              <w:rPr>
                <w:rFonts w:hint="eastAsia" w:ascii="宋体" w:hAnsi="宋体" w:eastAsia="宋体" w:cs="宋体"/>
                <w:i w:val="0"/>
                <w:color w:val="000000"/>
                <w:sz w:val="18"/>
                <w:szCs w:val="18"/>
                <w:u w:val="none"/>
              </w:rPr>
            </w:pPr>
          </w:p>
        </w:tc>
        <w:tc>
          <w:tcPr>
            <w:tcW w:w="1148" w:type="dxa"/>
            <w:vMerge w:val="continue"/>
            <w:tcBorders>
              <w:top w:val="single" w:color="000000" w:sz="4" w:space="0"/>
              <w:left w:val="single" w:color="000000" w:sz="4" w:space="0"/>
              <w:right w:val="single" w:color="000000" w:sz="4" w:space="0"/>
            </w:tcBorders>
            <w:shd w:val="clear" w:color="auto" w:fill="auto"/>
            <w:vAlign w:val="center"/>
          </w:tcPr>
          <w:p w14:paraId="737D351D">
            <w:pPr>
              <w:jc w:val="center"/>
              <w:rPr>
                <w:rFonts w:hint="eastAsia" w:ascii="宋体" w:hAnsi="宋体" w:eastAsia="宋体" w:cs="宋体"/>
                <w:i w:val="0"/>
                <w:color w:val="000000"/>
                <w:sz w:val="18"/>
                <w:szCs w:val="18"/>
                <w:u w:val="none"/>
              </w:rPr>
            </w:pPr>
          </w:p>
        </w:tc>
        <w:tc>
          <w:tcPr>
            <w:tcW w:w="1037" w:type="dxa"/>
            <w:tcBorders>
              <w:top w:val="single" w:color="000000" w:sz="4" w:space="0"/>
              <w:left w:val="single" w:color="000000" w:sz="4" w:space="0"/>
              <w:right w:val="single" w:color="000000" w:sz="4" w:space="0"/>
            </w:tcBorders>
            <w:shd w:val="clear" w:color="auto" w:fill="auto"/>
            <w:vAlign w:val="center"/>
          </w:tcPr>
          <w:p w14:paraId="071DE2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3B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保健时期</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1E44">
            <w:pPr>
              <w:jc w:val="center"/>
              <w:rPr>
                <w:rFonts w:hint="eastAsia" w:ascii="宋体" w:hAnsi="宋体" w:eastAsia="宋体" w:cs="宋体"/>
                <w:i w:val="0"/>
                <w:color w:val="000000"/>
                <w:sz w:val="18"/>
                <w:szCs w:val="18"/>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8C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w:t>
            </w:r>
          </w:p>
        </w:tc>
        <w:tc>
          <w:tcPr>
            <w:tcW w:w="1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6B151">
            <w:pPr>
              <w:jc w:val="center"/>
              <w:rPr>
                <w:rFonts w:hint="eastAsia" w:ascii="宋体" w:hAnsi="宋体" w:eastAsia="宋体" w:cs="宋体"/>
                <w:i w:val="0"/>
                <w:color w:val="000000"/>
                <w:sz w:val="18"/>
                <w:szCs w:val="18"/>
                <w:u w:val="none"/>
              </w:rPr>
            </w:pPr>
          </w:p>
        </w:tc>
      </w:tr>
      <w:tr w14:paraId="74CD8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1"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05195AA">
            <w:pPr>
              <w:jc w:val="center"/>
              <w:rPr>
                <w:rFonts w:hint="eastAsia" w:ascii="宋体" w:hAnsi="宋体" w:eastAsia="宋体" w:cs="宋体"/>
                <w:i w:val="0"/>
                <w:color w:val="000000"/>
                <w:sz w:val="18"/>
                <w:szCs w:val="18"/>
                <w:u w:val="none"/>
              </w:rPr>
            </w:pPr>
          </w:p>
        </w:tc>
        <w:tc>
          <w:tcPr>
            <w:tcW w:w="1148" w:type="dxa"/>
            <w:vMerge w:val="restart"/>
            <w:tcBorders>
              <w:top w:val="single" w:color="000000" w:sz="4" w:space="0"/>
              <w:left w:val="single" w:color="000000" w:sz="4" w:space="0"/>
              <w:right w:val="single" w:color="000000" w:sz="4" w:space="0"/>
            </w:tcBorders>
            <w:shd w:val="clear" w:color="auto" w:fill="auto"/>
            <w:vAlign w:val="center"/>
          </w:tcPr>
          <w:p w14:paraId="6BA16C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037" w:type="dxa"/>
            <w:tcBorders>
              <w:top w:val="single" w:color="000000" w:sz="4" w:space="0"/>
              <w:left w:val="single" w:color="000000" w:sz="4" w:space="0"/>
              <w:right w:val="single" w:color="000000" w:sz="4" w:space="0"/>
            </w:tcBorders>
            <w:shd w:val="clear" w:color="auto" w:fill="auto"/>
            <w:vAlign w:val="center"/>
          </w:tcPr>
          <w:p w14:paraId="700FF9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691" w:type="dxa"/>
            <w:tcBorders>
              <w:top w:val="single" w:color="000000" w:sz="4" w:space="0"/>
              <w:left w:val="single" w:color="000000" w:sz="4" w:space="0"/>
              <w:right w:val="single" w:color="000000" w:sz="4" w:space="0"/>
            </w:tcBorders>
            <w:shd w:val="clear" w:color="auto" w:fill="auto"/>
            <w:vAlign w:val="center"/>
          </w:tcPr>
          <w:p w14:paraId="598E92CB">
            <w:pPr>
              <w:jc w:val="center"/>
              <w:rPr>
                <w:rFonts w:hint="eastAsia" w:ascii="宋体" w:hAnsi="宋体" w:eastAsia="宋体" w:cs="宋体"/>
                <w:i w:val="0"/>
                <w:color w:val="000000"/>
                <w:sz w:val="18"/>
                <w:szCs w:val="18"/>
                <w:u w:val="none"/>
              </w:rPr>
            </w:pPr>
          </w:p>
        </w:tc>
        <w:tc>
          <w:tcPr>
            <w:tcW w:w="1472" w:type="dxa"/>
            <w:tcBorders>
              <w:top w:val="single" w:color="000000" w:sz="4" w:space="0"/>
              <w:left w:val="single" w:color="000000" w:sz="4" w:space="0"/>
              <w:right w:val="single" w:color="000000" w:sz="4" w:space="0"/>
            </w:tcBorders>
            <w:shd w:val="clear" w:color="auto" w:fill="auto"/>
            <w:vAlign w:val="center"/>
          </w:tcPr>
          <w:p w14:paraId="26076ACA">
            <w:pPr>
              <w:jc w:val="center"/>
              <w:rPr>
                <w:rFonts w:hint="eastAsia" w:ascii="宋体" w:hAnsi="宋体" w:eastAsia="宋体" w:cs="宋体"/>
                <w:i w:val="0"/>
                <w:color w:val="000000"/>
                <w:sz w:val="18"/>
                <w:szCs w:val="18"/>
                <w:u w:val="none"/>
              </w:rPr>
            </w:pPr>
          </w:p>
        </w:tc>
        <w:tc>
          <w:tcPr>
            <w:tcW w:w="1742" w:type="dxa"/>
            <w:tcBorders>
              <w:top w:val="single" w:color="000000" w:sz="4" w:space="0"/>
              <w:left w:val="single" w:color="000000" w:sz="4" w:space="0"/>
              <w:right w:val="single" w:color="000000" w:sz="4" w:space="0"/>
            </w:tcBorders>
            <w:shd w:val="clear" w:color="auto" w:fill="auto"/>
            <w:vAlign w:val="center"/>
          </w:tcPr>
          <w:p w14:paraId="243E54BD">
            <w:pPr>
              <w:jc w:val="center"/>
              <w:rPr>
                <w:rFonts w:hint="eastAsia" w:ascii="宋体" w:hAnsi="宋体" w:eastAsia="宋体" w:cs="宋体"/>
                <w:i w:val="0"/>
                <w:color w:val="000000"/>
                <w:sz w:val="18"/>
                <w:szCs w:val="18"/>
                <w:u w:val="none"/>
              </w:rPr>
            </w:pPr>
          </w:p>
        </w:tc>
        <w:tc>
          <w:tcPr>
            <w:tcW w:w="1718" w:type="dxa"/>
            <w:tcBorders>
              <w:top w:val="single" w:color="000000" w:sz="4" w:space="0"/>
              <w:left w:val="single" w:color="000000" w:sz="4" w:space="0"/>
              <w:right w:val="single" w:color="000000" w:sz="4" w:space="0"/>
            </w:tcBorders>
            <w:shd w:val="clear" w:color="auto" w:fill="auto"/>
            <w:vAlign w:val="center"/>
          </w:tcPr>
          <w:p w14:paraId="31B313FE">
            <w:pPr>
              <w:jc w:val="center"/>
              <w:rPr>
                <w:rFonts w:hint="eastAsia" w:ascii="宋体" w:hAnsi="宋体" w:eastAsia="宋体" w:cs="宋体"/>
                <w:i w:val="0"/>
                <w:color w:val="000000"/>
                <w:sz w:val="18"/>
                <w:szCs w:val="18"/>
                <w:u w:val="none"/>
              </w:rPr>
            </w:pPr>
          </w:p>
        </w:tc>
      </w:tr>
      <w:tr w14:paraId="5E744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8"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B1385AA">
            <w:pPr>
              <w:jc w:val="center"/>
              <w:rPr>
                <w:rFonts w:hint="eastAsia" w:ascii="宋体" w:hAnsi="宋体" w:eastAsia="宋体" w:cs="宋体"/>
                <w:i w:val="0"/>
                <w:color w:val="000000"/>
                <w:sz w:val="18"/>
                <w:szCs w:val="18"/>
                <w:u w:val="none"/>
              </w:rPr>
            </w:pPr>
          </w:p>
        </w:tc>
        <w:tc>
          <w:tcPr>
            <w:tcW w:w="1148" w:type="dxa"/>
            <w:vMerge w:val="continue"/>
            <w:tcBorders>
              <w:top w:val="single" w:color="000000" w:sz="4" w:space="0"/>
              <w:left w:val="single" w:color="000000" w:sz="4" w:space="0"/>
              <w:right w:val="single" w:color="000000" w:sz="4" w:space="0"/>
            </w:tcBorders>
            <w:shd w:val="clear" w:color="auto" w:fill="auto"/>
            <w:vAlign w:val="center"/>
          </w:tcPr>
          <w:p w14:paraId="6290149A">
            <w:pPr>
              <w:jc w:val="center"/>
              <w:rPr>
                <w:rFonts w:hint="eastAsia" w:ascii="宋体" w:hAnsi="宋体" w:eastAsia="宋体" w:cs="宋体"/>
                <w:i w:val="0"/>
                <w:color w:val="000000"/>
                <w:sz w:val="18"/>
                <w:szCs w:val="18"/>
                <w:u w:val="none"/>
              </w:rPr>
            </w:pPr>
          </w:p>
        </w:tc>
        <w:tc>
          <w:tcPr>
            <w:tcW w:w="1037" w:type="dxa"/>
            <w:tcBorders>
              <w:top w:val="single" w:color="000000" w:sz="4" w:space="0"/>
              <w:left w:val="single" w:color="000000" w:sz="4" w:space="0"/>
              <w:right w:val="single" w:color="000000" w:sz="4" w:space="0"/>
            </w:tcBorders>
            <w:shd w:val="clear" w:color="auto" w:fill="auto"/>
            <w:vAlign w:val="center"/>
          </w:tcPr>
          <w:p w14:paraId="3CEFD5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691" w:type="dxa"/>
            <w:tcBorders>
              <w:top w:val="single" w:color="000000" w:sz="4" w:space="0"/>
              <w:left w:val="single" w:color="000000" w:sz="4" w:space="0"/>
              <w:right w:val="single" w:color="000000" w:sz="4" w:space="0"/>
            </w:tcBorders>
            <w:shd w:val="clear" w:color="auto" w:fill="auto"/>
            <w:vAlign w:val="center"/>
          </w:tcPr>
          <w:p w14:paraId="1E2325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为保健对象提供高质量的医疗技术，解除病痛，促进健康</w:t>
            </w:r>
          </w:p>
        </w:tc>
        <w:tc>
          <w:tcPr>
            <w:tcW w:w="1472" w:type="dxa"/>
            <w:tcBorders>
              <w:top w:val="single" w:color="000000" w:sz="4" w:space="0"/>
              <w:left w:val="single" w:color="000000" w:sz="4" w:space="0"/>
              <w:right w:val="single" w:color="000000" w:sz="4" w:space="0"/>
            </w:tcBorders>
            <w:shd w:val="clear" w:color="auto" w:fill="auto"/>
            <w:vAlign w:val="center"/>
          </w:tcPr>
          <w:p w14:paraId="4146605B">
            <w:pPr>
              <w:jc w:val="center"/>
              <w:rPr>
                <w:rFonts w:hint="eastAsia" w:ascii="宋体" w:hAnsi="宋体" w:eastAsia="宋体" w:cs="宋体"/>
                <w:i w:val="0"/>
                <w:color w:val="000000"/>
                <w:sz w:val="18"/>
                <w:szCs w:val="18"/>
                <w:u w:val="none"/>
              </w:rPr>
            </w:pP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25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w:t>
            </w:r>
          </w:p>
        </w:tc>
        <w:tc>
          <w:tcPr>
            <w:tcW w:w="1718" w:type="dxa"/>
            <w:tcBorders>
              <w:top w:val="single" w:color="000000" w:sz="4" w:space="0"/>
              <w:left w:val="single" w:color="000000" w:sz="4" w:space="0"/>
              <w:right w:val="single" w:color="000000" w:sz="4" w:space="0"/>
            </w:tcBorders>
            <w:shd w:val="clear" w:color="auto" w:fill="auto"/>
            <w:vAlign w:val="center"/>
          </w:tcPr>
          <w:p w14:paraId="7A221648">
            <w:pPr>
              <w:jc w:val="center"/>
              <w:rPr>
                <w:rFonts w:hint="eastAsia" w:ascii="宋体" w:hAnsi="宋体" w:eastAsia="宋体" w:cs="宋体"/>
                <w:i w:val="0"/>
                <w:color w:val="000000"/>
                <w:sz w:val="18"/>
                <w:szCs w:val="18"/>
                <w:u w:val="none"/>
              </w:rPr>
            </w:pPr>
          </w:p>
        </w:tc>
      </w:tr>
      <w:tr w14:paraId="31FF1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2" w:hRule="atLeast"/>
        </w:trPr>
        <w:tc>
          <w:tcPr>
            <w:tcW w:w="39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BA83962">
            <w:pPr>
              <w:jc w:val="center"/>
              <w:rPr>
                <w:rFonts w:hint="eastAsia" w:ascii="宋体" w:hAnsi="宋体" w:eastAsia="宋体" w:cs="宋体"/>
                <w:i w:val="0"/>
                <w:color w:val="000000"/>
                <w:sz w:val="18"/>
                <w:szCs w:val="18"/>
                <w:u w:val="none"/>
              </w:rPr>
            </w:pP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0E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037" w:type="dxa"/>
            <w:tcBorders>
              <w:top w:val="single" w:color="000000" w:sz="4" w:space="0"/>
              <w:left w:val="single" w:color="000000" w:sz="4" w:space="0"/>
              <w:right w:val="single" w:color="000000" w:sz="4" w:space="0"/>
            </w:tcBorders>
            <w:shd w:val="clear" w:color="auto" w:fill="auto"/>
            <w:vAlign w:val="center"/>
          </w:tcPr>
          <w:p w14:paraId="313E4A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691" w:type="dxa"/>
            <w:tcBorders>
              <w:top w:val="single" w:color="000000" w:sz="4" w:space="0"/>
              <w:left w:val="single" w:color="000000" w:sz="4" w:space="0"/>
              <w:right w:val="single" w:color="000000" w:sz="4" w:space="0"/>
            </w:tcBorders>
            <w:shd w:val="clear" w:color="auto" w:fill="auto"/>
            <w:vAlign w:val="center"/>
          </w:tcPr>
          <w:p w14:paraId="7D25EB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1472" w:type="dxa"/>
            <w:tcBorders>
              <w:top w:val="single" w:color="000000" w:sz="4" w:space="0"/>
              <w:left w:val="single" w:color="000000" w:sz="4" w:space="0"/>
              <w:right w:val="single" w:color="000000" w:sz="4" w:space="0"/>
            </w:tcBorders>
            <w:shd w:val="clear" w:color="auto" w:fill="auto"/>
            <w:vAlign w:val="center"/>
          </w:tcPr>
          <w:p w14:paraId="3C467E95">
            <w:pPr>
              <w:jc w:val="center"/>
              <w:rPr>
                <w:rFonts w:hint="eastAsia" w:ascii="宋体" w:hAnsi="宋体" w:eastAsia="宋体" w:cs="宋体"/>
                <w:i w:val="0"/>
                <w:color w:val="000000"/>
                <w:sz w:val="18"/>
                <w:szCs w:val="18"/>
                <w:u w:val="none"/>
              </w:rPr>
            </w:pPr>
          </w:p>
        </w:tc>
        <w:tc>
          <w:tcPr>
            <w:tcW w:w="1742" w:type="dxa"/>
            <w:tcBorders>
              <w:top w:val="single" w:color="000000" w:sz="4" w:space="0"/>
              <w:left w:val="single" w:color="000000" w:sz="4" w:space="0"/>
              <w:right w:val="single" w:color="000000" w:sz="4" w:space="0"/>
            </w:tcBorders>
            <w:shd w:val="clear" w:color="auto" w:fill="auto"/>
            <w:vAlign w:val="center"/>
          </w:tcPr>
          <w:p w14:paraId="19B89250">
            <w:pPr>
              <w:keepNext w:val="0"/>
              <w:keepLines w:val="0"/>
              <w:widowControl/>
              <w:suppressLineNumbers w:val="0"/>
              <w:jc w:val="center"/>
              <w:textAlignment w:val="center"/>
              <w:rPr>
                <w:rFonts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93%</w:t>
            </w:r>
          </w:p>
        </w:tc>
        <w:tc>
          <w:tcPr>
            <w:tcW w:w="1718" w:type="dxa"/>
            <w:tcBorders>
              <w:top w:val="single" w:color="000000" w:sz="4" w:space="0"/>
              <w:left w:val="single" w:color="000000" w:sz="4" w:space="0"/>
              <w:right w:val="single" w:color="000000" w:sz="4" w:space="0"/>
            </w:tcBorders>
            <w:shd w:val="clear" w:color="auto" w:fill="auto"/>
            <w:vAlign w:val="center"/>
          </w:tcPr>
          <w:p w14:paraId="6B53966C">
            <w:pPr>
              <w:jc w:val="center"/>
              <w:rPr>
                <w:rFonts w:hint="eastAsia" w:ascii="宋体" w:hAnsi="宋体" w:eastAsia="宋体" w:cs="宋体"/>
                <w:i w:val="0"/>
                <w:color w:val="000000"/>
                <w:sz w:val="18"/>
                <w:szCs w:val="18"/>
                <w:u w:val="none"/>
              </w:rPr>
            </w:pPr>
          </w:p>
        </w:tc>
      </w:tr>
      <w:tr w14:paraId="5E4F5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45" w:hRule="atLeast"/>
        </w:trPr>
        <w:tc>
          <w:tcPr>
            <w:tcW w:w="42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808B9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财政资金管理科室（盖章）</w:t>
            </w:r>
          </w:p>
          <w:p w14:paraId="60E449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    月     日</w:t>
            </w:r>
          </w:p>
        </w:tc>
        <w:tc>
          <w:tcPr>
            <w:tcW w:w="4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78273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财政绩效管理科室（盖章）</w:t>
            </w:r>
          </w:p>
          <w:p w14:paraId="5E701C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    月     日</w:t>
            </w:r>
          </w:p>
        </w:tc>
      </w:tr>
    </w:tbl>
    <w:p w14:paraId="7534D2E9">
      <w:pPr>
        <w:pStyle w:val="6"/>
        <w:keepNext w:val="0"/>
        <w:keepLines w:val="0"/>
        <w:pageBreakBefore w:val="0"/>
        <w:widowControl w:val="0"/>
        <w:numPr>
          <w:ilvl w:val="0"/>
          <w:numId w:val="0"/>
        </w:numPr>
        <w:kinsoku/>
        <w:wordWrap/>
        <w:overflowPunct/>
        <w:topLinePunct w:val="0"/>
        <w:autoSpaceDE/>
        <w:autoSpaceDN/>
        <w:bidi w:val="0"/>
        <w:spacing w:line="460" w:lineRule="atLeast"/>
        <w:jc w:val="both"/>
        <w:textAlignment w:val="auto"/>
        <w:rPr>
          <w:rFonts w:hint="eastAsia" w:ascii="仿宋_GB2312" w:eastAsia="仿宋_GB2312"/>
          <w:b/>
          <w:bCs/>
          <w:color w:val="000000"/>
          <w:sz w:val="36"/>
          <w:szCs w:val="36"/>
          <w:highlight w:val="none"/>
          <w:lang w:val="en-US" w:eastAsia="zh-CN"/>
        </w:rPr>
      </w:pPr>
    </w:p>
    <w:p w14:paraId="4DF6DE34">
      <w:pPr>
        <w:pStyle w:val="6"/>
        <w:keepNext w:val="0"/>
        <w:keepLines w:val="0"/>
        <w:pageBreakBefore w:val="0"/>
        <w:widowControl w:val="0"/>
        <w:numPr>
          <w:ilvl w:val="0"/>
          <w:numId w:val="0"/>
        </w:numPr>
        <w:kinsoku/>
        <w:wordWrap/>
        <w:overflowPunct/>
        <w:topLinePunct w:val="0"/>
        <w:autoSpaceDE/>
        <w:autoSpaceDN/>
        <w:bidi w:val="0"/>
        <w:spacing w:line="460" w:lineRule="atLeast"/>
        <w:ind w:left="0" w:leftChars="0" w:firstLine="640"/>
        <w:jc w:val="both"/>
        <w:textAlignment w:val="auto"/>
        <w:rPr>
          <w:rFonts w:hint="eastAsia" w:ascii="仿宋_GB2312" w:eastAsia="仿宋_GB2312"/>
          <w:b/>
          <w:bCs/>
          <w:color w:val="000000"/>
          <w:sz w:val="36"/>
          <w:szCs w:val="36"/>
          <w:highlight w:val="none"/>
          <w:lang w:val="en-US" w:eastAsia="zh-CN"/>
        </w:rPr>
      </w:pPr>
    </w:p>
    <w:tbl>
      <w:tblPr>
        <w:tblStyle w:val="3"/>
        <w:tblW w:w="8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49"/>
        <w:gridCol w:w="1108"/>
        <w:gridCol w:w="1129"/>
        <w:gridCol w:w="1794"/>
        <w:gridCol w:w="1289"/>
        <w:gridCol w:w="1392"/>
        <w:gridCol w:w="1379"/>
      </w:tblGrid>
      <w:tr w14:paraId="6E6A1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2" w:hRule="atLeast"/>
        </w:trPr>
        <w:tc>
          <w:tcPr>
            <w:tcW w:w="8440" w:type="dxa"/>
            <w:gridSpan w:val="7"/>
            <w:shd w:val="clear" w:color="auto" w:fill="auto"/>
            <w:vAlign w:val="center"/>
          </w:tcPr>
          <w:p w14:paraId="482753AF">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项目支出绩效目标批复表</w:t>
            </w:r>
          </w:p>
        </w:tc>
      </w:tr>
      <w:tr w14:paraId="235DF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1" w:hRule="atLeast"/>
        </w:trPr>
        <w:tc>
          <w:tcPr>
            <w:tcW w:w="8440" w:type="dxa"/>
            <w:gridSpan w:val="7"/>
            <w:shd w:val="clear" w:color="auto" w:fill="auto"/>
            <w:vAlign w:val="center"/>
          </w:tcPr>
          <w:p w14:paraId="7ADA1B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14:paraId="022B2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1" w:hRule="atLeast"/>
        </w:trPr>
        <w:tc>
          <w:tcPr>
            <w:tcW w:w="8440" w:type="dxa"/>
            <w:gridSpan w:val="7"/>
            <w:tcBorders>
              <w:bottom w:val="single" w:color="000000" w:sz="4" w:space="0"/>
            </w:tcBorders>
            <w:shd w:val="clear" w:color="auto" w:fill="auto"/>
            <w:vAlign w:val="center"/>
          </w:tcPr>
          <w:p w14:paraId="62A7A502">
            <w:pPr>
              <w:jc w:val="left"/>
              <w:rPr>
                <w:rFonts w:hint="eastAsia" w:ascii="宋体" w:hAnsi="宋体" w:eastAsia="宋体" w:cs="宋体"/>
                <w:i w:val="0"/>
                <w:color w:val="000000"/>
                <w:sz w:val="22"/>
                <w:szCs w:val="22"/>
                <w:u w:val="none"/>
              </w:rPr>
            </w:pPr>
          </w:p>
        </w:tc>
      </w:tr>
      <w:tr w14:paraId="78BD2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4" w:hRule="atLeast"/>
        </w:trPr>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226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29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90D7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城镇独生子女年老父母计划生育奖励</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EE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项目负责人</w:t>
            </w:r>
          </w:p>
        </w:tc>
        <w:tc>
          <w:tcPr>
            <w:tcW w:w="2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7ACD4">
            <w:pPr>
              <w:jc w:val="center"/>
              <w:rPr>
                <w:rFonts w:hint="eastAsia" w:ascii="宋体" w:hAnsi="宋体" w:eastAsia="宋体" w:cs="宋体"/>
                <w:i w:val="0"/>
                <w:color w:val="000000"/>
                <w:sz w:val="18"/>
                <w:szCs w:val="18"/>
                <w:u w:val="none"/>
              </w:rPr>
            </w:pPr>
          </w:p>
        </w:tc>
      </w:tr>
      <w:tr w14:paraId="11EC3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0" w:hRule="atLeast"/>
        </w:trPr>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592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项目金额</w:t>
            </w:r>
          </w:p>
        </w:tc>
        <w:tc>
          <w:tcPr>
            <w:tcW w:w="29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9530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1000万</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E4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其中：当年市级财政资金</w:t>
            </w:r>
          </w:p>
        </w:tc>
        <w:tc>
          <w:tcPr>
            <w:tcW w:w="2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8189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1000万</w:t>
            </w:r>
          </w:p>
        </w:tc>
      </w:tr>
      <w:tr w14:paraId="084E7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4" w:hRule="atLeast"/>
        </w:trPr>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0FD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项目主管部门</w:t>
            </w:r>
          </w:p>
        </w:tc>
        <w:tc>
          <w:tcPr>
            <w:tcW w:w="29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F8F5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黄石市卫生健康委员会</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73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77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6E21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黄石市卫生健康委员会</w:t>
            </w:r>
          </w:p>
        </w:tc>
      </w:tr>
      <w:tr w14:paraId="367B1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4" w:hRule="atLeast"/>
        </w:trPr>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644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项目属性</w:t>
            </w:r>
          </w:p>
        </w:tc>
        <w:tc>
          <w:tcPr>
            <w:tcW w:w="29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DFA2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持续性项目■    新增性项目口</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09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项目期</w:t>
            </w:r>
          </w:p>
        </w:tc>
        <w:tc>
          <w:tcPr>
            <w:tcW w:w="2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A54F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w:t>
            </w:r>
          </w:p>
        </w:tc>
      </w:tr>
      <w:tr w14:paraId="79307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4" w:hRule="atLeast"/>
        </w:trPr>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F7F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年度绩效目标（文字）</w:t>
            </w:r>
          </w:p>
        </w:tc>
        <w:tc>
          <w:tcPr>
            <w:tcW w:w="69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B3A7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落实计划生育基本国策</w:t>
            </w:r>
          </w:p>
        </w:tc>
      </w:tr>
      <w:tr w14:paraId="54F9F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4" w:hRule="atLeast"/>
        </w:trPr>
        <w:tc>
          <w:tcPr>
            <w:tcW w:w="34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AD2B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D1A6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D2C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7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4C40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26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D17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3CA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指标标准或依据</w:t>
            </w:r>
          </w:p>
        </w:tc>
      </w:tr>
      <w:tr w14:paraId="72B3E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7"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5E2F526">
            <w:pPr>
              <w:jc w:val="center"/>
              <w:rPr>
                <w:rFonts w:hint="eastAsia" w:ascii="宋体" w:hAnsi="宋体" w:eastAsia="宋体" w:cs="宋体"/>
                <w:i w:val="0"/>
                <w:color w:val="000000"/>
                <w:sz w:val="18"/>
                <w:szCs w:val="18"/>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896E7">
            <w:pPr>
              <w:jc w:val="center"/>
              <w:rPr>
                <w:rFonts w:hint="eastAsia" w:ascii="宋体" w:hAnsi="宋体" w:eastAsia="宋体" w:cs="宋体"/>
                <w:i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DD415">
            <w:pPr>
              <w:jc w:val="center"/>
              <w:rPr>
                <w:rFonts w:hint="eastAsia" w:ascii="宋体" w:hAnsi="宋体" w:eastAsia="宋体" w:cs="宋体"/>
                <w:i w:val="0"/>
                <w:color w:val="000000"/>
                <w:sz w:val="18"/>
                <w:szCs w:val="18"/>
                <w:u w:val="none"/>
              </w:rPr>
            </w:pPr>
          </w:p>
        </w:tc>
        <w:tc>
          <w:tcPr>
            <w:tcW w:w="17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0B665">
            <w:pPr>
              <w:jc w:val="center"/>
              <w:rPr>
                <w:rFonts w:hint="eastAsia" w:ascii="宋体" w:hAnsi="宋体" w:eastAsia="宋体" w:cs="宋体"/>
                <w:i w:val="0"/>
                <w:color w:val="000000"/>
                <w:sz w:val="18"/>
                <w:szCs w:val="18"/>
                <w:u w:val="none"/>
              </w:rPr>
            </w:pP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0C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2023年实际实现值</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50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预期2024年实现值</w:t>
            </w: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8CD62">
            <w:pPr>
              <w:jc w:val="center"/>
              <w:rPr>
                <w:rFonts w:hint="eastAsia" w:ascii="宋体" w:hAnsi="宋体" w:eastAsia="宋体" w:cs="宋体"/>
                <w:i w:val="0"/>
                <w:color w:val="000000"/>
                <w:sz w:val="18"/>
                <w:szCs w:val="18"/>
                <w:u w:val="none"/>
              </w:rPr>
            </w:pPr>
          </w:p>
        </w:tc>
      </w:tr>
      <w:tr w14:paraId="6BF0F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38FFCC9">
            <w:pPr>
              <w:jc w:val="center"/>
              <w:rPr>
                <w:rFonts w:hint="eastAsia" w:ascii="宋体" w:hAnsi="宋体" w:eastAsia="宋体" w:cs="宋体"/>
                <w:i w:val="0"/>
                <w:color w:val="000000"/>
                <w:sz w:val="18"/>
                <w:szCs w:val="18"/>
                <w:u w:val="none"/>
              </w:rPr>
            </w:pPr>
          </w:p>
        </w:tc>
        <w:tc>
          <w:tcPr>
            <w:tcW w:w="1108" w:type="dxa"/>
            <w:tcBorders>
              <w:top w:val="single" w:color="000000" w:sz="4" w:space="0"/>
              <w:left w:val="single" w:color="000000" w:sz="4" w:space="0"/>
              <w:right w:val="single" w:color="000000" w:sz="4" w:space="0"/>
            </w:tcBorders>
            <w:shd w:val="clear" w:color="auto" w:fill="auto"/>
            <w:vAlign w:val="center"/>
          </w:tcPr>
          <w:p w14:paraId="504122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129" w:type="dxa"/>
            <w:tcBorders>
              <w:top w:val="single" w:color="000000" w:sz="4" w:space="0"/>
              <w:left w:val="single" w:color="000000" w:sz="4" w:space="0"/>
              <w:right w:val="single" w:color="000000" w:sz="4" w:space="0"/>
            </w:tcBorders>
            <w:shd w:val="clear" w:color="auto" w:fill="auto"/>
            <w:vAlign w:val="center"/>
          </w:tcPr>
          <w:p w14:paraId="6E1F1D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CC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企业退休职工计划生育奖励标准</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FFB0">
            <w:pPr>
              <w:jc w:val="center"/>
              <w:rPr>
                <w:rFonts w:hint="eastAsia" w:ascii="宋体" w:hAnsi="宋体" w:eastAsia="宋体" w:cs="宋体"/>
                <w:i w:val="0"/>
                <w:color w:val="000000"/>
                <w:sz w:val="18"/>
                <w:szCs w:val="18"/>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78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3500元/人</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8EBC">
            <w:pPr>
              <w:jc w:val="center"/>
              <w:rPr>
                <w:rFonts w:hint="eastAsia" w:ascii="宋体" w:hAnsi="宋体" w:eastAsia="宋体" w:cs="宋体"/>
                <w:i w:val="0"/>
                <w:color w:val="000000"/>
                <w:sz w:val="18"/>
                <w:szCs w:val="18"/>
                <w:u w:val="none"/>
              </w:rPr>
            </w:pPr>
          </w:p>
        </w:tc>
      </w:tr>
      <w:tr w14:paraId="7376B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8205864">
            <w:pPr>
              <w:jc w:val="center"/>
              <w:rPr>
                <w:rFonts w:hint="eastAsia" w:ascii="宋体" w:hAnsi="宋体" w:eastAsia="宋体" w:cs="宋体"/>
                <w:i w:val="0"/>
                <w:color w:val="000000"/>
                <w:sz w:val="18"/>
                <w:szCs w:val="18"/>
                <w:u w:val="none"/>
              </w:rPr>
            </w:pPr>
          </w:p>
        </w:tc>
        <w:tc>
          <w:tcPr>
            <w:tcW w:w="1108" w:type="dxa"/>
            <w:vMerge w:val="restart"/>
            <w:tcBorders>
              <w:top w:val="single" w:color="000000" w:sz="4" w:space="0"/>
              <w:left w:val="single" w:color="000000" w:sz="4" w:space="0"/>
              <w:right w:val="single" w:color="000000" w:sz="4" w:space="0"/>
            </w:tcBorders>
            <w:shd w:val="clear" w:color="auto" w:fill="auto"/>
            <w:vAlign w:val="center"/>
          </w:tcPr>
          <w:p w14:paraId="2AD9AD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29" w:type="dxa"/>
            <w:tcBorders>
              <w:top w:val="single" w:color="000000" w:sz="4" w:space="0"/>
              <w:left w:val="single" w:color="000000" w:sz="4" w:space="0"/>
              <w:right w:val="single" w:color="000000" w:sz="4" w:space="0"/>
            </w:tcBorders>
            <w:shd w:val="clear" w:color="auto" w:fill="auto"/>
            <w:vAlign w:val="center"/>
          </w:tcPr>
          <w:p w14:paraId="4BD289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5A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企业退休职工计划生育奖励人数</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DC12">
            <w:pPr>
              <w:jc w:val="center"/>
              <w:rPr>
                <w:rFonts w:hint="eastAsia" w:ascii="宋体" w:hAnsi="宋体" w:eastAsia="宋体" w:cs="宋体"/>
                <w:i w:val="0"/>
                <w:color w:val="000000"/>
                <w:sz w:val="18"/>
                <w:szCs w:val="18"/>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D0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3000人</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D137">
            <w:pPr>
              <w:jc w:val="center"/>
              <w:rPr>
                <w:rFonts w:hint="eastAsia" w:ascii="宋体" w:hAnsi="宋体" w:eastAsia="宋体" w:cs="宋体"/>
                <w:i w:val="0"/>
                <w:color w:val="000000"/>
                <w:sz w:val="18"/>
                <w:szCs w:val="18"/>
                <w:u w:val="none"/>
              </w:rPr>
            </w:pPr>
          </w:p>
        </w:tc>
      </w:tr>
      <w:tr w14:paraId="0BAD8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1"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C284FA2">
            <w:pPr>
              <w:jc w:val="center"/>
              <w:rPr>
                <w:rFonts w:hint="eastAsia" w:ascii="宋体" w:hAnsi="宋体" w:eastAsia="宋体" w:cs="宋体"/>
                <w:i w:val="0"/>
                <w:color w:val="000000"/>
                <w:sz w:val="18"/>
                <w:szCs w:val="18"/>
                <w:u w:val="none"/>
              </w:rPr>
            </w:pPr>
          </w:p>
        </w:tc>
        <w:tc>
          <w:tcPr>
            <w:tcW w:w="1108" w:type="dxa"/>
            <w:vMerge w:val="continue"/>
            <w:tcBorders>
              <w:top w:val="single" w:color="000000" w:sz="4" w:space="0"/>
              <w:left w:val="single" w:color="000000" w:sz="4" w:space="0"/>
              <w:right w:val="single" w:color="000000" w:sz="4" w:space="0"/>
            </w:tcBorders>
            <w:shd w:val="clear" w:color="auto" w:fill="auto"/>
            <w:vAlign w:val="center"/>
          </w:tcPr>
          <w:p w14:paraId="65044927">
            <w:pPr>
              <w:jc w:val="center"/>
              <w:rPr>
                <w:rFonts w:hint="eastAsia" w:ascii="宋体" w:hAnsi="宋体" w:eastAsia="宋体" w:cs="宋体"/>
                <w:i w:val="0"/>
                <w:color w:val="000000"/>
                <w:sz w:val="18"/>
                <w:szCs w:val="18"/>
                <w:u w:val="none"/>
              </w:rPr>
            </w:pP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7D2C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F8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奖励资金补助合规率</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F1EA">
            <w:pPr>
              <w:jc w:val="center"/>
              <w:rPr>
                <w:rFonts w:hint="eastAsia" w:ascii="宋体" w:hAnsi="宋体" w:eastAsia="宋体" w:cs="宋体"/>
                <w:i w:val="0"/>
                <w:color w:val="000000"/>
                <w:sz w:val="18"/>
                <w:szCs w:val="18"/>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43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1ECB">
            <w:pPr>
              <w:jc w:val="center"/>
              <w:rPr>
                <w:rFonts w:hint="eastAsia" w:ascii="宋体" w:hAnsi="宋体" w:eastAsia="宋体" w:cs="宋体"/>
                <w:i w:val="0"/>
                <w:color w:val="000000"/>
                <w:sz w:val="18"/>
                <w:szCs w:val="18"/>
                <w:u w:val="none"/>
              </w:rPr>
            </w:pPr>
          </w:p>
        </w:tc>
      </w:tr>
      <w:tr w14:paraId="4E11E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5"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8EFF04">
            <w:pPr>
              <w:jc w:val="center"/>
              <w:rPr>
                <w:rFonts w:hint="eastAsia" w:ascii="宋体" w:hAnsi="宋体" w:eastAsia="宋体" w:cs="宋体"/>
                <w:i w:val="0"/>
                <w:color w:val="000000"/>
                <w:sz w:val="18"/>
                <w:szCs w:val="18"/>
                <w:u w:val="none"/>
              </w:rPr>
            </w:pPr>
          </w:p>
        </w:tc>
        <w:tc>
          <w:tcPr>
            <w:tcW w:w="1108" w:type="dxa"/>
            <w:vMerge w:val="continue"/>
            <w:tcBorders>
              <w:top w:val="single" w:color="000000" w:sz="4" w:space="0"/>
              <w:left w:val="single" w:color="000000" w:sz="4" w:space="0"/>
              <w:right w:val="single" w:color="000000" w:sz="4" w:space="0"/>
            </w:tcBorders>
            <w:shd w:val="clear" w:color="auto" w:fill="auto"/>
            <w:vAlign w:val="center"/>
          </w:tcPr>
          <w:p w14:paraId="57080581">
            <w:pPr>
              <w:jc w:val="center"/>
              <w:rPr>
                <w:rFonts w:hint="eastAsia" w:ascii="宋体" w:hAnsi="宋体" w:eastAsia="宋体" w:cs="宋体"/>
                <w:i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1D020">
            <w:pPr>
              <w:jc w:val="center"/>
              <w:rPr>
                <w:rFonts w:hint="eastAsia" w:ascii="宋体" w:hAnsi="宋体" w:eastAsia="宋体" w:cs="宋体"/>
                <w:i w:val="0"/>
                <w:color w:val="000000"/>
                <w:sz w:val="18"/>
                <w:szCs w:val="18"/>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12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资金发放完成比例</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66C1F">
            <w:pPr>
              <w:jc w:val="center"/>
              <w:rPr>
                <w:rFonts w:hint="eastAsia" w:ascii="宋体" w:hAnsi="宋体" w:eastAsia="宋体" w:cs="宋体"/>
                <w:i w:val="0"/>
                <w:color w:val="000000"/>
                <w:sz w:val="18"/>
                <w:szCs w:val="18"/>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8A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DD82">
            <w:pPr>
              <w:jc w:val="center"/>
              <w:rPr>
                <w:rFonts w:hint="eastAsia" w:ascii="宋体" w:hAnsi="宋体" w:eastAsia="宋体" w:cs="宋体"/>
                <w:i w:val="0"/>
                <w:color w:val="000000"/>
                <w:sz w:val="18"/>
                <w:szCs w:val="18"/>
                <w:u w:val="none"/>
              </w:rPr>
            </w:pPr>
          </w:p>
        </w:tc>
      </w:tr>
      <w:tr w14:paraId="3412B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5"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53374DA">
            <w:pPr>
              <w:jc w:val="center"/>
              <w:rPr>
                <w:rFonts w:hint="eastAsia" w:ascii="宋体" w:hAnsi="宋体" w:eastAsia="宋体" w:cs="宋体"/>
                <w:i w:val="0"/>
                <w:color w:val="000000"/>
                <w:sz w:val="18"/>
                <w:szCs w:val="18"/>
                <w:u w:val="none"/>
              </w:rPr>
            </w:pPr>
          </w:p>
        </w:tc>
        <w:tc>
          <w:tcPr>
            <w:tcW w:w="1108" w:type="dxa"/>
            <w:vMerge w:val="continue"/>
            <w:tcBorders>
              <w:top w:val="single" w:color="000000" w:sz="4" w:space="0"/>
              <w:left w:val="single" w:color="000000" w:sz="4" w:space="0"/>
              <w:right w:val="single" w:color="000000" w:sz="4" w:space="0"/>
            </w:tcBorders>
            <w:shd w:val="clear" w:color="auto" w:fill="auto"/>
            <w:vAlign w:val="center"/>
          </w:tcPr>
          <w:p w14:paraId="62AFFC38">
            <w:pPr>
              <w:jc w:val="center"/>
              <w:rPr>
                <w:rFonts w:hint="eastAsia" w:ascii="宋体" w:hAnsi="宋体" w:eastAsia="宋体" w:cs="宋体"/>
                <w:i w:val="0"/>
                <w:color w:val="000000"/>
                <w:sz w:val="18"/>
                <w:szCs w:val="1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63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A7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奖励资金补助及时率</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FA74">
            <w:pPr>
              <w:jc w:val="center"/>
              <w:rPr>
                <w:rFonts w:hint="eastAsia" w:ascii="宋体" w:hAnsi="宋体" w:eastAsia="宋体" w:cs="宋体"/>
                <w:i w:val="0"/>
                <w:color w:val="000000"/>
                <w:sz w:val="18"/>
                <w:szCs w:val="18"/>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30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C353">
            <w:pPr>
              <w:jc w:val="center"/>
              <w:rPr>
                <w:rFonts w:hint="eastAsia" w:ascii="宋体" w:hAnsi="宋体" w:eastAsia="宋体" w:cs="宋体"/>
                <w:i w:val="0"/>
                <w:color w:val="000000"/>
                <w:sz w:val="18"/>
                <w:szCs w:val="18"/>
                <w:u w:val="none"/>
              </w:rPr>
            </w:pPr>
          </w:p>
        </w:tc>
      </w:tr>
      <w:tr w14:paraId="7E17A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5"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2FDB3CA">
            <w:pPr>
              <w:jc w:val="center"/>
              <w:rPr>
                <w:rFonts w:hint="eastAsia" w:ascii="宋体" w:hAnsi="宋体" w:eastAsia="宋体" w:cs="宋体"/>
                <w:i w:val="0"/>
                <w:color w:val="000000"/>
                <w:sz w:val="18"/>
                <w:szCs w:val="18"/>
                <w:u w:val="none"/>
              </w:rPr>
            </w:pP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DB15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A91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D6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计划生育基本国策</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0F42">
            <w:pPr>
              <w:jc w:val="center"/>
              <w:rPr>
                <w:rFonts w:hint="eastAsia" w:ascii="宋体" w:hAnsi="宋体" w:eastAsia="宋体" w:cs="宋体"/>
                <w:i w:val="0"/>
                <w:color w:val="000000"/>
                <w:sz w:val="18"/>
                <w:szCs w:val="18"/>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57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落实</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766C">
            <w:pPr>
              <w:jc w:val="center"/>
              <w:rPr>
                <w:rFonts w:hint="eastAsia" w:ascii="宋体" w:hAnsi="宋体" w:eastAsia="宋体" w:cs="宋体"/>
                <w:i w:val="0"/>
                <w:color w:val="000000"/>
                <w:sz w:val="18"/>
                <w:szCs w:val="18"/>
                <w:u w:val="none"/>
              </w:rPr>
            </w:pPr>
          </w:p>
        </w:tc>
      </w:tr>
      <w:tr w14:paraId="78A04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454C90D">
            <w:pPr>
              <w:jc w:val="center"/>
              <w:rPr>
                <w:rFonts w:hint="eastAsia" w:ascii="宋体" w:hAnsi="宋体" w:eastAsia="宋体" w:cs="宋体"/>
                <w:i w:val="0"/>
                <w:color w:val="000000"/>
                <w:sz w:val="18"/>
                <w:szCs w:val="18"/>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19CC9">
            <w:pPr>
              <w:jc w:val="center"/>
              <w:rPr>
                <w:rFonts w:hint="eastAsia" w:ascii="宋体" w:hAnsi="宋体" w:eastAsia="宋体" w:cs="宋体"/>
                <w:i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8F5CA6">
            <w:pPr>
              <w:jc w:val="center"/>
              <w:rPr>
                <w:rFonts w:hint="eastAsia" w:ascii="宋体" w:hAnsi="宋体" w:eastAsia="宋体" w:cs="宋体"/>
                <w:i w:val="0"/>
                <w:color w:val="000000"/>
                <w:sz w:val="18"/>
                <w:szCs w:val="18"/>
                <w:u w:val="none"/>
              </w:rPr>
            </w:pP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F0B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退休计生家庭生活条件改善认可度</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EDF2">
            <w:pPr>
              <w:jc w:val="center"/>
              <w:rPr>
                <w:rFonts w:hint="eastAsia" w:ascii="宋体" w:hAnsi="宋体" w:eastAsia="宋体" w:cs="宋体"/>
                <w:i w:val="0"/>
                <w:color w:val="000000"/>
                <w:sz w:val="18"/>
                <w:szCs w:val="18"/>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616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CD9A">
            <w:pPr>
              <w:jc w:val="center"/>
              <w:rPr>
                <w:rFonts w:hint="eastAsia" w:ascii="宋体" w:hAnsi="宋体" w:eastAsia="宋体" w:cs="宋体"/>
                <w:i w:val="0"/>
                <w:color w:val="000000"/>
                <w:sz w:val="18"/>
                <w:szCs w:val="18"/>
                <w:u w:val="none"/>
              </w:rPr>
            </w:pPr>
          </w:p>
        </w:tc>
      </w:tr>
      <w:tr w14:paraId="308D7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5"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772D83">
            <w:pPr>
              <w:jc w:val="center"/>
              <w:rPr>
                <w:rFonts w:hint="eastAsia" w:ascii="宋体" w:hAnsi="宋体" w:eastAsia="宋体" w:cs="宋体"/>
                <w:i w:val="0"/>
                <w:color w:val="000000"/>
                <w:sz w:val="18"/>
                <w:szCs w:val="18"/>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BE498">
            <w:pPr>
              <w:jc w:val="center"/>
              <w:rPr>
                <w:rFonts w:hint="eastAsia" w:ascii="宋体" w:hAnsi="宋体" w:eastAsia="宋体" w:cs="宋体"/>
                <w:i w:val="0"/>
                <w:color w:val="000000"/>
                <w:sz w:val="18"/>
                <w:szCs w:val="18"/>
                <w:u w:val="none"/>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6A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92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卫生健康事业持续健康发展</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602E">
            <w:pPr>
              <w:jc w:val="center"/>
              <w:rPr>
                <w:rFonts w:hint="eastAsia" w:ascii="宋体" w:hAnsi="宋体" w:eastAsia="宋体" w:cs="宋体"/>
                <w:i w:val="0"/>
                <w:color w:val="000000"/>
                <w:sz w:val="18"/>
                <w:szCs w:val="18"/>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A12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9AA18">
            <w:pPr>
              <w:jc w:val="center"/>
              <w:rPr>
                <w:rFonts w:hint="eastAsia" w:ascii="宋体" w:hAnsi="宋体" w:eastAsia="宋体" w:cs="宋体"/>
                <w:i w:val="0"/>
                <w:color w:val="000000"/>
                <w:sz w:val="18"/>
                <w:szCs w:val="18"/>
                <w:u w:val="none"/>
              </w:rPr>
            </w:pPr>
          </w:p>
        </w:tc>
      </w:tr>
      <w:tr w14:paraId="4A296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411C0AA">
            <w:pPr>
              <w:jc w:val="center"/>
              <w:rPr>
                <w:rFonts w:hint="eastAsia" w:ascii="宋体" w:hAnsi="宋体" w:eastAsia="宋体" w:cs="宋体"/>
                <w:i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15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8C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2C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受奖励对象满意度</w:t>
            </w:r>
          </w:p>
        </w:tc>
        <w:tc>
          <w:tcPr>
            <w:tcW w:w="1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C12B">
            <w:pPr>
              <w:jc w:val="center"/>
              <w:rPr>
                <w:rFonts w:hint="eastAsia" w:ascii="宋体" w:hAnsi="宋体" w:eastAsia="宋体" w:cs="宋体"/>
                <w:i w:val="0"/>
                <w:color w:val="000000"/>
                <w:sz w:val="18"/>
                <w:szCs w:val="18"/>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D7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C45F">
            <w:pPr>
              <w:jc w:val="center"/>
              <w:rPr>
                <w:rFonts w:hint="eastAsia" w:ascii="宋体" w:hAnsi="宋体" w:eastAsia="宋体" w:cs="宋体"/>
                <w:i w:val="0"/>
                <w:color w:val="000000"/>
                <w:sz w:val="18"/>
                <w:szCs w:val="18"/>
                <w:u w:val="none"/>
              </w:rPr>
            </w:pPr>
          </w:p>
        </w:tc>
      </w:tr>
      <w:tr w14:paraId="6AB50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96" w:hRule="atLeast"/>
        </w:trPr>
        <w:tc>
          <w:tcPr>
            <w:tcW w:w="4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3C5CE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财政资金管理科室（盖章）</w:t>
            </w:r>
          </w:p>
          <w:p w14:paraId="4882D4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    月     日</w:t>
            </w:r>
          </w:p>
        </w:tc>
        <w:tc>
          <w:tcPr>
            <w:tcW w:w="4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216AA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财政绩效管理科室（盖章）</w:t>
            </w:r>
          </w:p>
          <w:p w14:paraId="3940A5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    月     日</w:t>
            </w:r>
          </w:p>
        </w:tc>
      </w:tr>
    </w:tbl>
    <w:p w14:paraId="26D881B7">
      <w:pPr>
        <w:pStyle w:val="6"/>
        <w:keepNext w:val="0"/>
        <w:keepLines w:val="0"/>
        <w:pageBreakBefore w:val="0"/>
        <w:widowControl w:val="0"/>
        <w:numPr>
          <w:ilvl w:val="0"/>
          <w:numId w:val="0"/>
        </w:numPr>
        <w:kinsoku/>
        <w:wordWrap/>
        <w:overflowPunct/>
        <w:topLinePunct w:val="0"/>
        <w:autoSpaceDE/>
        <w:autoSpaceDN/>
        <w:bidi w:val="0"/>
        <w:spacing w:line="460" w:lineRule="atLeast"/>
        <w:ind w:left="0" w:leftChars="0"/>
        <w:jc w:val="both"/>
        <w:textAlignment w:val="auto"/>
        <w:rPr>
          <w:rFonts w:hint="default" w:ascii="仿宋_GB2312" w:eastAsia="仿宋_GB2312"/>
          <w:b/>
          <w:bCs/>
          <w:color w:val="000000"/>
          <w:sz w:val="36"/>
          <w:szCs w:val="36"/>
          <w:highlight w:val="none"/>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Microsoft JhengHei Light">
    <w:panose1 w:val="020B0304030504040204"/>
    <w:charset w:val="88"/>
    <w:family w:val="auto"/>
    <w:pitch w:val="default"/>
    <w:sig w:usb0="8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147B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A3C50E9">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14:paraId="5A3C50E9">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2760A8"/>
    <w:multiLevelType w:val="singleLevel"/>
    <w:tmpl w:val="212760A8"/>
    <w:lvl w:ilvl="0" w:tentative="0">
      <w:start w:val="2"/>
      <w:numFmt w:val="decimal"/>
      <w:suff w:val="nothing"/>
      <w:lvlText w:val="%1、"/>
      <w:lvlJc w:val="left"/>
    </w:lvl>
  </w:abstractNum>
  <w:abstractNum w:abstractNumId="1">
    <w:nsid w:val="73B24783"/>
    <w:multiLevelType w:val="singleLevel"/>
    <w:tmpl w:val="73B24783"/>
    <w:lvl w:ilvl="0" w:tentative="0">
      <w:start w:val="2"/>
      <w:numFmt w:val="decimal"/>
      <w:suff w:val="nothing"/>
      <w:lvlText w:val="%1、"/>
      <w:lvlJc w:val="left"/>
    </w:lvl>
  </w:abstractNum>
  <w:abstractNum w:abstractNumId="2">
    <w:nsid w:val="76AA72DF"/>
    <w:multiLevelType w:val="singleLevel"/>
    <w:tmpl w:val="76AA72DF"/>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1M2E5MDljMGM0OTBlMGEwYWZiNjk3MzZkYjU2YzMifQ=="/>
  </w:docVars>
  <w:rsids>
    <w:rsidRoot w:val="34FA15B3"/>
    <w:rsid w:val="000C024B"/>
    <w:rsid w:val="000E0EEB"/>
    <w:rsid w:val="00434E6A"/>
    <w:rsid w:val="00813870"/>
    <w:rsid w:val="00C55CF3"/>
    <w:rsid w:val="0101192C"/>
    <w:rsid w:val="01381AFE"/>
    <w:rsid w:val="013A5933"/>
    <w:rsid w:val="01572697"/>
    <w:rsid w:val="01601AE1"/>
    <w:rsid w:val="018E67A5"/>
    <w:rsid w:val="01B9385C"/>
    <w:rsid w:val="01DA0B02"/>
    <w:rsid w:val="02064641"/>
    <w:rsid w:val="02242E8E"/>
    <w:rsid w:val="02371E69"/>
    <w:rsid w:val="02493090"/>
    <w:rsid w:val="02C80BBA"/>
    <w:rsid w:val="02CD601D"/>
    <w:rsid w:val="02E35179"/>
    <w:rsid w:val="02F144FA"/>
    <w:rsid w:val="038622C3"/>
    <w:rsid w:val="03905F64"/>
    <w:rsid w:val="041E7FB2"/>
    <w:rsid w:val="04504BAA"/>
    <w:rsid w:val="04864C3A"/>
    <w:rsid w:val="04D71BF2"/>
    <w:rsid w:val="051C72E3"/>
    <w:rsid w:val="05233E6C"/>
    <w:rsid w:val="05A143CE"/>
    <w:rsid w:val="05CF2FC7"/>
    <w:rsid w:val="05DE188C"/>
    <w:rsid w:val="06064078"/>
    <w:rsid w:val="063D4707"/>
    <w:rsid w:val="06986594"/>
    <w:rsid w:val="06FD1F85"/>
    <w:rsid w:val="070B10A0"/>
    <w:rsid w:val="07375BAD"/>
    <w:rsid w:val="07403656"/>
    <w:rsid w:val="074D22E3"/>
    <w:rsid w:val="0772396F"/>
    <w:rsid w:val="07D53739"/>
    <w:rsid w:val="07F972BF"/>
    <w:rsid w:val="08365FCE"/>
    <w:rsid w:val="085E58E2"/>
    <w:rsid w:val="08634DDA"/>
    <w:rsid w:val="08F46A11"/>
    <w:rsid w:val="092100EF"/>
    <w:rsid w:val="093107FD"/>
    <w:rsid w:val="093B57D2"/>
    <w:rsid w:val="094479A9"/>
    <w:rsid w:val="09604D1B"/>
    <w:rsid w:val="097924AD"/>
    <w:rsid w:val="09B5523A"/>
    <w:rsid w:val="09D41DD9"/>
    <w:rsid w:val="09D81C01"/>
    <w:rsid w:val="0A04185D"/>
    <w:rsid w:val="0A5C6EE6"/>
    <w:rsid w:val="0A5F47CE"/>
    <w:rsid w:val="0AAF7387"/>
    <w:rsid w:val="0B254B5F"/>
    <w:rsid w:val="0B6952CF"/>
    <w:rsid w:val="0B7F5D75"/>
    <w:rsid w:val="0BFC0BE5"/>
    <w:rsid w:val="0C2548EB"/>
    <w:rsid w:val="0C294516"/>
    <w:rsid w:val="0C5B4D40"/>
    <w:rsid w:val="0CBE7153"/>
    <w:rsid w:val="0CD76EC4"/>
    <w:rsid w:val="0D1B76B6"/>
    <w:rsid w:val="0D301A6D"/>
    <w:rsid w:val="0D4B07BB"/>
    <w:rsid w:val="0DBB252E"/>
    <w:rsid w:val="0E471764"/>
    <w:rsid w:val="0E537724"/>
    <w:rsid w:val="0E941B37"/>
    <w:rsid w:val="0ECA445B"/>
    <w:rsid w:val="0F05604C"/>
    <w:rsid w:val="0F0658C5"/>
    <w:rsid w:val="0F0C1EB7"/>
    <w:rsid w:val="0F870803"/>
    <w:rsid w:val="0FE057B8"/>
    <w:rsid w:val="101F063E"/>
    <w:rsid w:val="10910DE3"/>
    <w:rsid w:val="10A06986"/>
    <w:rsid w:val="10A81F64"/>
    <w:rsid w:val="10EC17B7"/>
    <w:rsid w:val="112F47A9"/>
    <w:rsid w:val="11345598"/>
    <w:rsid w:val="114A2981"/>
    <w:rsid w:val="11812847"/>
    <w:rsid w:val="11852982"/>
    <w:rsid w:val="118916FB"/>
    <w:rsid w:val="125E0C3D"/>
    <w:rsid w:val="12CE17F6"/>
    <w:rsid w:val="13BF07FF"/>
    <w:rsid w:val="13C07028"/>
    <w:rsid w:val="140869C8"/>
    <w:rsid w:val="141E0E93"/>
    <w:rsid w:val="148738CD"/>
    <w:rsid w:val="15062E37"/>
    <w:rsid w:val="150660B6"/>
    <w:rsid w:val="153D18EE"/>
    <w:rsid w:val="15D00A95"/>
    <w:rsid w:val="15E62E37"/>
    <w:rsid w:val="15E83826"/>
    <w:rsid w:val="160052C3"/>
    <w:rsid w:val="162D3043"/>
    <w:rsid w:val="163E24D2"/>
    <w:rsid w:val="16BF6E3B"/>
    <w:rsid w:val="16D0184C"/>
    <w:rsid w:val="172C428F"/>
    <w:rsid w:val="17740AA0"/>
    <w:rsid w:val="179C2C35"/>
    <w:rsid w:val="18104D40"/>
    <w:rsid w:val="181111FB"/>
    <w:rsid w:val="18281689"/>
    <w:rsid w:val="189D4E65"/>
    <w:rsid w:val="190D2C12"/>
    <w:rsid w:val="190D5627"/>
    <w:rsid w:val="193C6578"/>
    <w:rsid w:val="193E06B7"/>
    <w:rsid w:val="1B526827"/>
    <w:rsid w:val="1B724FAE"/>
    <w:rsid w:val="1B7F67A7"/>
    <w:rsid w:val="1BA60C03"/>
    <w:rsid w:val="1C9854C5"/>
    <w:rsid w:val="1CA97461"/>
    <w:rsid w:val="1CEE686A"/>
    <w:rsid w:val="1D3B7BAB"/>
    <w:rsid w:val="1D6F5768"/>
    <w:rsid w:val="1D8071CA"/>
    <w:rsid w:val="1D881D31"/>
    <w:rsid w:val="1E40229B"/>
    <w:rsid w:val="1E815FA5"/>
    <w:rsid w:val="1E9043BB"/>
    <w:rsid w:val="1EA77CED"/>
    <w:rsid w:val="1F8169C0"/>
    <w:rsid w:val="20422835"/>
    <w:rsid w:val="205C6966"/>
    <w:rsid w:val="20AE1A8D"/>
    <w:rsid w:val="20AF2801"/>
    <w:rsid w:val="20B13BBE"/>
    <w:rsid w:val="210554DB"/>
    <w:rsid w:val="21165F4F"/>
    <w:rsid w:val="2131158A"/>
    <w:rsid w:val="21876CA4"/>
    <w:rsid w:val="21AC4002"/>
    <w:rsid w:val="22704DE8"/>
    <w:rsid w:val="227671A8"/>
    <w:rsid w:val="22B943FC"/>
    <w:rsid w:val="22C30F5F"/>
    <w:rsid w:val="22EA351D"/>
    <w:rsid w:val="2308490F"/>
    <w:rsid w:val="23554AEF"/>
    <w:rsid w:val="238B2602"/>
    <w:rsid w:val="238D5611"/>
    <w:rsid w:val="23F6276A"/>
    <w:rsid w:val="24671D84"/>
    <w:rsid w:val="24776A6E"/>
    <w:rsid w:val="24AE34FB"/>
    <w:rsid w:val="25A538CB"/>
    <w:rsid w:val="25B15E7E"/>
    <w:rsid w:val="26E7357D"/>
    <w:rsid w:val="26FE58E2"/>
    <w:rsid w:val="271A0203"/>
    <w:rsid w:val="271C2267"/>
    <w:rsid w:val="2722195C"/>
    <w:rsid w:val="272342DD"/>
    <w:rsid w:val="27382361"/>
    <w:rsid w:val="274F566B"/>
    <w:rsid w:val="276673E4"/>
    <w:rsid w:val="27BA21B7"/>
    <w:rsid w:val="280F69EA"/>
    <w:rsid w:val="28492552"/>
    <w:rsid w:val="284A2686"/>
    <w:rsid w:val="28591F80"/>
    <w:rsid w:val="28675185"/>
    <w:rsid w:val="287E7846"/>
    <w:rsid w:val="28EE12E9"/>
    <w:rsid w:val="29163DE7"/>
    <w:rsid w:val="2934229C"/>
    <w:rsid w:val="298011DE"/>
    <w:rsid w:val="298B6B53"/>
    <w:rsid w:val="29AC3D81"/>
    <w:rsid w:val="29B13146"/>
    <w:rsid w:val="2A4B3E10"/>
    <w:rsid w:val="2A687AD5"/>
    <w:rsid w:val="2A923088"/>
    <w:rsid w:val="2AA46253"/>
    <w:rsid w:val="2B1C6CE5"/>
    <w:rsid w:val="2B6A4392"/>
    <w:rsid w:val="2BB127BA"/>
    <w:rsid w:val="2BE32E56"/>
    <w:rsid w:val="2BEB7F5E"/>
    <w:rsid w:val="2C025A88"/>
    <w:rsid w:val="2C3132AD"/>
    <w:rsid w:val="2C3600F7"/>
    <w:rsid w:val="2C3B7B84"/>
    <w:rsid w:val="2C4B7F8C"/>
    <w:rsid w:val="2D281BA0"/>
    <w:rsid w:val="2D734A8D"/>
    <w:rsid w:val="2D85673B"/>
    <w:rsid w:val="2D962788"/>
    <w:rsid w:val="2D9D77DC"/>
    <w:rsid w:val="2DAD0E4A"/>
    <w:rsid w:val="2DE06870"/>
    <w:rsid w:val="2DFB1885"/>
    <w:rsid w:val="2E1549E7"/>
    <w:rsid w:val="2EB0392B"/>
    <w:rsid w:val="2EBC2F2C"/>
    <w:rsid w:val="2F02518F"/>
    <w:rsid w:val="2F4337C4"/>
    <w:rsid w:val="2F7644D8"/>
    <w:rsid w:val="2FAD0A26"/>
    <w:rsid w:val="2FCB283C"/>
    <w:rsid w:val="300A0AB7"/>
    <w:rsid w:val="301023DC"/>
    <w:rsid w:val="304F119F"/>
    <w:rsid w:val="30F235D8"/>
    <w:rsid w:val="30F47322"/>
    <w:rsid w:val="30F73B34"/>
    <w:rsid w:val="31622F41"/>
    <w:rsid w:val="319C1705"/>
    <w:rsid w:val="31A717FE"/>
    <w:rsid w:val="31BC2BBE"/>
    <w:rsid w:val="31C268FC"/>
    <w:rsid w:val="31F9231A"/>
    <w:rsid w:val="320F21DB"/>
    <w:rsid w:val="321B424B"/>
    <w:rsid w:val="32355B8A"/>
    <w:rsid w:val="323C23FB"/>
    <w:rsid w:val="32D54349"/>
    <w:rsid w:val="32E95C72"/>
    <w:rsid w:val="32EB3B6C"/>
    <w:rsid w:val="3399212F"/>
    <w:rsid w:val="33B379D5"/>
    <w:rsid w:val="342866FA"/>
    <w:rsid w:val="34302A6E"/>
    <w:rsid w:val="345474EF"/>
    <w:rsid w:val="34D1503A"/>
    <w:rsid w:val="34DA5511"/>
    <w:rsid w:val="34E86309"/>
    <w:rsid w:val="34FA15B3"/>
    <w:rsid w:val="357A422A"/>
    <w:rsid w:val="358C2629"/>
    <w:rsid w:val="35BE5626"/>
    <w:rsid w:val="35C03638"/>
    <w:rsid w:val="36AC53B7"/>
    <w:rsid w:val="36CD5139"/>
    <w:rsid w:val="36DA644C"/>
    <w:rsid w:val="36EF636B"/>
    <w:rsid w:val="36F95570"/>
    <w:rsid w:val="37447F4A"/>
    <w:rsid w:val="37CF504F"/>
    <w:rsid w:val="37D6480E"/>
    <w:rsid w:val="37E62267"/>
    <w:rsid w:val="381A7AD7"/>
    <w:rsid w:val="38373562"/>
    <w:rsid w:val="38535ADB"/>
    <w:rsid w:val="38A03443"/>
    <w:rsid w:val="38F66E93"/>
    <w:rsid w:val="392918CB"/>
    <w:rsid w:val="39605264"/>
    <w:rsid w:val="39766A1D"/>
    <w:rsid w:val="3A070AC5"/>
    <w:rsid w:val="3A5E052E"/>
    <w:rsid w:val="3A6B7A42"/>
    <w:rsid w:val="3AE65D28"/>
    <w:rsid w:val="3B267ED4"/>
    <w:rsid w:val="3B3140E6"/>
    <w:rsid w:val="3B514788"/>
    <w:rsid w:val="3B936C25"/>
    <w:rsid w:val="3BC63127"/>
    <w:rsid w:val="3BF11BC5"/>
    <w:rsid w:val="3C010C50"/>
    <w:rsid w:val="3C1966B0"/>
    <w:rsid w:val="3CE04876"/>
    <w:rsid w:val="3CF10E45"/>
    <w:rsid w:val="3DB80AEF"/>
    <w:rsid w:val="3DC82679"/>
    <w:rsid w:val="3DD66B86"/>
    <w:rsid w:val="3E2609B2"/>
    <w:rsid w:val="3E697FF5"/>
    <w:rsid w:val="3E722DCC"/>
    <w:rsid w:val="3E7758F0"/>
    <w:rsid w:val="3EB562E1"/>
    <w:rsid w:val="3ED54C2F"/>
    <w:rsid w:val="3EF67B21"/>
    <w:rsid w:val="3F5301FB"/>
    <w:rsid w:val="3F870779"/>
    <w:rsid w:val="3F8A7085"/>
    <w:rsid w:val="3F9264D0"/>
    <w:rsid w:val="402462FD"/>
    <w:rsid w:val="40404EE0"/>
    <w:rsid w:val="410D55F0"/>
    <w:rsid w:val="41163DD2"/>
    <w:rsid w:val="41171FD0"/>
    <w:rsid w:val="412A1D04"/>
    <w:rsid w:val="41560FC7"/>
    <w:rsid w:val="41A01FC6"/>
    <w:rsid w:val="41BA7659"/>
    <w:rsid w:val="41F45E6E"/>
    <w:rsid w:val="4276163D"/>
    <w:rsid w:val="429A4187"/>
    <w:rsid w:val="429C1067"/>
    <w:rsid w:val="42F3082F"/>
    <w:rsid w:val="43053FBA"/>
    <w:rsid w:val="432929EE"/>
    <w:rsid w:val="43314A46"/>
    <w:rsid w:val="4357332E"/>
    <w:rsid w:val="43873C61"/>
    <w:rsid w:val="43B7462F"/>
    <w:rsid w:val="43D6649C"/>
    <w:rsid w:val="43D85A47"/>
    <w:rsid w:val="44145BCF"/>
    <w:rsid w:val="44154363"/>
    <w:rsid w:val="44265BF2"/>
    <w:rsid w:val="445157F9"/>
    <w:rsid w:val="44520322"/>
    <w:rsid w:val="44735802"/>
    <w:rsid w:val="447946B3"/>
    <w:rsid w:val="44A64897"/>
    <w:rsid w:val="4584483D"/>
    <w:rsid w:val="45862DAF"/>
    <w:rsid w:val="465115D2"/>
    <w:rsid w:val="466909FB"/>
    <w:rsid w:val="46870C4E"/>
    <w:rsid w:val="46E56339"/>
    <w:rsid w:val="46F04E55"/>
    <w:rsid w:val="4735161B"/>
    <w:rsid w:val="473F7061"/>
    <w:rsid w:val="476D0AD6"/>
    <w:rsid w:val="48284B85"/>
    <w:rsid w:val="48412859"/>
    <w:rsid w:val="48FD0D9E"/>
    <w:rsid w:val="49CD2466"/>
    <w:rsid w:val="4A204E21"/>
    <w:rsid w:val="4A311A18"/>
    <w:rsid w:val="4A3C43E7"/>
    <w:rsid w:val="4A452824"/>
    <w:rsid w:val="4A477D2B"/>
    <w:rsid w:val="4A6827B3"/>
    <w:rsid w:val="4A8D26AA"/>
    <w:rsid w:val="4A904F07"/>
    <w:rsid w:val="4AD02480"/>
    <w:rsid w:val="4B2256FB"/>
    <w:rsid w:val="4B365921"/>
    <w:rsid w:val="4CD90C6B"/>
    <w:rsid w:val="4CE74F4D"/>
    <w:rsid w:val="4D291E16"/>
    <w:rsid w:val="4D2D6B40"/>
    <w:rsid w:val="4D815663"/>
    <w:rsid w:val="4DC06A84"/>
    <w:rsid w:val="4DD27745"/>
    <w:rsid w:val="4DF27705"/>
    <w:rsid w:val="4DF72A08"/>
    <w:rsid w:val="4E022D59"/>
    <w:rsid w:val="4E091301"/>
    <w:rsid w:val="4E157A52"/>
    <w:rsid w:val="4E407F7D"/>
    <w:rsid w:val="4E4122C2"/>
    <w:rsid w:val="4E7E71F0"/>
    <w:rsid w:val="4E974ADF"/>
    <w:rsid w:val="4EF621E1"/>
    <w:rsid w:val="4F265EBB"/>
    <w:rsid w:val="4F7D56F4"/>
    <w:rsid w:val="501B218D"/>
    <w:rsid w:val="50271DE1"/>
    <w:rsid w:val="502C3407"/>
    <w:rsid w:val="504641EC"/>
    <w:rsid w:val="5059227D"/>
    <w:rsid w:val="50AD7110"/>
    <w:rsid w:val="50C86601"/>
    <w:rsid w:val="50E11F6B"/>
    <w:rsid w:val="50E77EFE"/>
    <w:rsid w:val="51093252"/>
    <w:rsid w:val="511A62E7"/>
    <w:rsid w:val="51283BE7"/>
    <w:rsid w:val="513C38D8"/>
    <w:rsid w:val="514221D5"/>
    <w:rsid w:val="51662594"/>
    <w:rsid w:val="519F7014"/>
    <w:rsid w:val="51B01DB1"/>
    <w:rsid w:val="51D87BE8"/>
    <w:rsid w:val="51E9384F"/>
    <w:rsid w:val="52154051"/>
    <w:rsid w:val="522C130E"/>
    <w:rsid w:val="52495D62"/>
    <w:rsid w:val="52E2163D"/>
    <w:rsid w:val="535019F0"/>
    <w:rsid w:val="539A5F0C"/>
    <w:rsid w:val="54501F46"/>
    <w:rsid w:val="545119EE"/>
    <w:rsid w:val="5472471D"/>
    <w:rsid w:val="54DE3FA8"/>
    <w:rsid w:val="5515591A"/>
    <w:rsid w:val="553C6671"/>
    <w:rsid w:val="55775A2B"/>
    <w:rsid w:val="55982094"/>
    <w:rsid w:val="561F4464"/>
    <w:rsid w:val="568923E9"/>
    <w:rsid w:val="56A33C92"/>
    <w:rsid w:val="56D31D46"/>
    <w:rsid w:val="571F3F16"/>
    <w:rsid w:val="573E3119"/>
    <w:rsid w:val="5757562F"/>
    <w:rsid w:val="577A106C"/>
    <w:rsid w:val="577C7FB3"/>
    <w:rsid w:val="578810DA"/>
    <w:rsid w:val="57BC26D6"/>
    <w:rsid w:val="580A53E6"/>
    <w:rsid w:val="581B48E5"/>
    <w:rsid w:val="58573E8E"/>
    <w:rsid w:val="58635FAD"/>
    <w:rsid w:val="58A10ED2"/>
    <w:rsid w:val="58A4109F"/>
    <w:rsid w:val="58D114CE"/>
    <w:rsid w:val="59843151"/>
    <w:rsid w:val="59C92C8C"/>
    <w:rsid w:val="59CC1752"/>
    <w:rsid w:val="59EE16C8"/>
    <w:rsid w:val="5A2502D0"/>
    <w:rsid w:val="5AA552CF"/>
    <w:rsid w:val="5AEE2F5B"/>
    <w:rsid w:val="5B00605E"/>
    <w:rsid w:val="5B1633A1"/>
    <w:rsid w:val="5BAE63B0"/>
    <w:rsid w:val="5BAF5274"/>
    <w:rsid w:val="5C0C22DA"/>
    <w:rsid w:val="5C0E23FC"/>
    <w:rsid w:val="5C175E50"/>
    <w:rsid w:val="5C567E53"/>
    <w:rsid w:val="5C8C6243"/>
    <w:rsid w:val="5CD82AD8"/>
    <w:rsid w:val="5CDA6CEF"/>
    <w:rsid w:val="5D290EB5"/>
    <w:rsid w:val="5D3F1D7D"/>
    <w:rsid w:val="5DEC1314"/>
    <w:rsid w:val="5E103F94"/>
    <w:rsid w:val="5E9A4FF4"/>
    <w:rsid w:val="5ED35331"/>
    <w:rsid w:val="5ED90A33"/>
    <w:rsid w:val="5ED94F20"/>
    <w:rsid w:val="5EFF3B40"/>
    <w:rsid w:val="5F1A093B"/>
    <w:rsid w:val="5F767B6B"/>
    <w:rsid w:val="5FBC2784"/>
    <w:rsid w:val="5FD12894"/>
    <w:rsid w:val="5FEE1AAE"/>
    <w:rsid w:val="5FF15109"/>
    <w:rsid w:val="5FFD73BA"/>
    <w:rsid w:val="600839FF"/>
    <w:rsid w:val="601131DA"/>
    <w:rsid w:val="60321477"/>
    <w:rsid w:val="60542927"/>
    <w:rsid w:val="608C39E9"/>
    <w:rsid w:val="60950820"/>
    <w:rsid w:val="609C5C96"/>
    <w:rsid w:val="60ED2CC2"/>
    <w:rsid w:val="611B3D01"/>
    <w:rsid w:val="614F35C8"/>
    <w:rsid w:val="615E036F"/>
    <w:rsid w:val="618C17C7"/>
    <w:rsid w:val="61B349D1"/>
    <w:rsid w:val="61D244B9"/>
    <w:rsid w:val="61D6728C"/>
    <w:rsid w:val="61D74D39"/>
    <w:rsid w:val="62246A3D"/>
    <w:rsid w:val="623D691B"/>
    <w:rsid w:val="62D65EC8"/>
    <w:rsid w:val="62EE686D"/>
    <w:rsid w:val="632B5225"/>
    <w:rsid w:val="633678A7"/>
    <w:rsid w:val="63461D37"/>
    <w:rsid w:val="63760EC2"/>
    <w:rsid w:val="637A2A65"/>
    <w:rsid w:val="63BF5087"/>
    <w:rsid w:val="63C74D38"/>
    <w:rsid w:val="63D0539D"/>
    <w:rsid w:val="64586D6A"/>
    <w:rsid w:val="646410EF"/>
    <w:rsid w:val="647F03BF"/>
    <w:rsid w:val="64B75DCF"/>
    <w:rsid w:val="64E63B06"/>
    <w:rsid w:val="64F953C5"/>
    <w:rsid w:val="65074B11"/>
    <w:rsid w:val="65C77490"/>
    <w:rsid w:val="65D200F0"/>
    <w:rsid w:val="65DC5745"/>
    <w:rsid w:val="6619635E"/>
    <w:rsid w:val="662951F5"/>
    <w:rsid w:val="66687C4D"/>
    <w:rsid w:val="666F025E"/>
    <w:rsid w:val="66DE2802"/>
    <w:rsid w:val="67A440D5"/>
    <w:rsid w:val="67B60569"/>
    <w:rsid w:val="67C7725F"/>
    <w:rsid w:val="67CF2A16"/>
    <w:rsid w:val="67D0731B"/>
    <w:rsid w:val="67F457BC"/>
    <w:rsid w:val="68071A03"/>
    <w:rsid w:val="682A7955"/>
    <w:rsid w:val="683A76EE"/>
    <w:rsid w:val="684D6587"/>
    <w:rsid w:val="68BF6E49"/>
    <w:rsid w:val="68D25322"/>
    <w:rsid w:val="69144C5D"/>
    <w:rsid w:val="69192A33"/>
    <w:rsid w:val="69237B72"/>
    <w:rsid w:val="69270753"/>
    <w:rsid w:val="69757994"/>
    <w:rsid w:val="69A26F6D"/>
    <w:rsid w:val="69F008B5"/>
    <w:rsid w:val="6A6056F5"/>
    <w:rsid w:val="6ACB0553"/>
    <w:rsid w:val="6B081E84"/>
    <w:rsid w:val="6B0C55CA"/>
    <w:rsid w:val="6B392B57"/>
    <w:rsid w:val="6B6D2C1E"/>
    <w:rsid w:val="6C146581"/>
    <w:rsid w:val="6C16613E"/>
    <w:rsid w:val="6C1E3D4C"/>
    <w:rsid w:val="6C2F3E68"/>
    <w:rsid w:val="6C9C7E18"/>
    <w:rsid w:val="6D083ED8"/>
    <w:rsid w:val="6D275125"/>
    <w:rsid w:val="6D523637"/>
    <w:rsid w:val="6D825639"/>
    <w:rsid w:val="6E9300DC"/>
    <w:rsid w:val="6E9E5294"/>
    <w:rsid w:val="6EB02487"/>
    <w:rsid w:val="6F6E6637"/>
    <w:rsid w:val="6F9E33FB"/>
    <w:rsid w:val="6FD5299E"/>
    <w:rsid w:val="700D5716"/>
    <w:rsid w:val="70671532"/>
    <w:rsid w:val="70AA42E7"/>
    <w:rsid w:val="70B825D8"/>
    <w:rsid w:val="70CC1BE0"/>
    <w:rsid w:val="70E87C8B"/>
    <w:rsid w:val="712A5044"/>
    <w:rsid w:val="7172168B"/>
    <w:rsid w:val="71836742"/>
    <w:rsid w:val="71CE1100"/>
    <w:rsid w:val="71CF072C"/>
    <w:rsid w:val="71E76CD1"/>
    <w:rsid w:val="72066002"/>
    <w:rsid w:val="725400A9"/>
    <w:rsid w:val="72B80A02"/>
    <w:rsid w:val="72C4086A"/>
    <w:rsid w:val="72D946E8"/>
    <w:rsid w:val="730665F6"/>
    <w:rsid w:val="73A0182E"/>
    <w:rsid w:val="73C82B32"/>
    <w:rsid w:val="73C94886"/>
    <w:rsid w:val="73D4594D"/>
    <w:rsid w:val="74297E63"/>
    <w:rsid w:val="745058B3"/>
    <w:rsid w:val="74937DF0"/>
    <w:rsid w:val="74BB58F5"/>
    <w:rsid w:val="750D7C9B"/>
    <w:rsid w:val="754B7577"/>
    <w:rsid w:val="75534997"/>
    <w:rsid w:val="7582039F"/>
    <w:rsid w:val="75A212B2"/>
    <w:rsid w:val="76396620"/>
    <w:rsid w:val="7667244C"/>
    <w:rsid w:val="767C5066"/>
    <w:rsid w:val="76853563"/>
    <w:rsid w:val="769B5814"/>
    <w:rsid w:val="76B87678"/>
    <w:rsid w:val="76C45B99"/>
    <w:rsid w:val="771060F5"/>
    <w:rsid w:val="771E3AB1"/>
    <w:rsid w:val="773618D5"/>
    <w:rsid w:val="7789232A"/>
    <w:rsid w:val="77AD55BB"/>
    <w:rsid w:val="77F374C7"/>
    <w:rsid w:val="78684ADC"/>
    <w:rsid w:val="78BF2F4F"/>
    <w:rsid w:val="78D71452"/>
    <w:rsid w:val="78F73CFE"/>
    <w:rsid w:val="7913766D"/>
    <w:rsid w:val="79161336"/>
    <w:rsid w:val="79190AAF"/>
    <w:rsid w:val="79512273"/>
    <w:rsid w:val="79C1605A"/>
    <w:rsid w:val="79EA494D"/>
    <w:rsid w:val="7A052A73"/>
    <w:rsid w:val="7A286917"/>
    <w:rsid w:val="7A5942B7"/>
    <w:rsid w:val="7A985017"/>
    <w:rsid w:val="7AB52BF7"/>
    <w:rsid w:val="7ABC1291"/>
    <w:rsid w:val="7ACD35D8"/>
    <w:rsid w:val="7AF47C19"/>
    <w:rsid w:val="7B2D561E"/>
    <w:rsid w:val="7B3D391E"/>
    <w:rsid w:val="7B75534E"/>
    <w:rsid w:val="7B8E425A"/>
    <w:rsid w:val="7BB60F28"/>
    <w:rsid w:val="7BB839D0"/>
    <w:rsid w:val="7BDC009D"/>
    <w:rsid w:val="7BE12D5A"/>
    <w:rsid w:val="7BE130CB"/>
    <w:rsid w:val="7C0A7FF8"/>
    <w:rsid w:val="7C0E12FE"/>
    <w:rsid w:val="7C257112"/>
    <w:rsid w:val="7C314E64"/>
    <w:rsid w:val="7C4F4FED"/>
    <w:rsid w:val="7C6C4E24"/>
    <w:rsid w:val="7C847632"/>
    <w:rsid w:val="7D121450"/>
    <w:rsid w:val="7D284839"/>
    <w:rsid w:val="7D406136"/>
    <w:rsid w:val="7D4470D8"/>
    <w:rsid w:val="7D62244B"/>
    <w:rsid w:val="7D9E6686"/>
    <w:rsid w:val="7E1142EC"/>
    <w:rsid w:val="7E5D17F6"/>
    <w:rsid w:val="7EA94BA9"/>
    <w:rsid w:val="7F2A00E9"/>
    <w:rsid w:val="7F6D0163"/>
    <w:rsid w:val="7F7917BB"/>
    <w:rsid w:val="7F8A5F75"/>
    <w:rsid w:val="7F8E2356"/>
    <w:rsid w:val="7F9A3079"/>
    <w:rsid w:val="7F9D6387"/>
    <w:rsid w:val="7FB720E2"/>
    <w:rsid w:val="7FD7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customStyle="1" w:styleId="5">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
    <w:name w:val="正文缩进 + 首行缩进:  2 字符"/>
    <w:basedOn w:val="1"/>
    <w:autoRedefine/>
    <w:qFormat/>
    <w:uiPriority w:val="0"/>
    <w:pPr>
      <w:spacing w:line="560" w:lineRule="exact"/>
      <w:ind w:firstLine="640"/>
    </w:pPr>
    <w:rPr>
      <w:rFonts w:ascii="仿宋" w:hAnsi="仿宋" w:eastAsia="仿宋" w:cs="宋体"/>
      <w:sz w:val="32"/>
      <w:szCs w:val="20"/>
    </w:rPr>
  </w:style>
  <w:style w:type="character" w:customStyle="1" w:styleId="7">
    <w:name w:val="font61"/>
    <w:basedOn w:val="4"/>
    <w:autoRedefine/>
    <w:qFormat/>
    <w:uiPriority w:val="0"/>
    <w:rPr>
      <w:rFonts w:hint="eastAsia" w:ascii="宋体" w:hAnsi="宋体" w:eastAsia="宋体" w:cs="宋体"/>
      <w:color w:val="000000"/>
      <w:sz w:val="18"/>
      <w:szCs w:val="18"/>
      <w:u w:val="none"/>
    </w:rPr>
  </w:style>
  <w:style w:type="character" w:customStyle="1" w:styleId="8">
    <w:name w:val="font101"/>
    <w:basedOn w:val="4"/>
    <w:autoRedefine/>
    <w:qFormat/>
    <w:uiPriority w:val="0"/>
    <w:rPr>
      <w:rFonts w:ascii="Arial" w:hAnsi="Arial" w:cs="Arial"/>
      <w:color w:val="000000"/>
      <w:sz w:val="18"/>
      <w:szCs w:val="18"/>
      <w:u w:val="none"/>
    </w:rPr>
  </w:style>
  <w:style w:type="character" w:customStyle="1" w:styleId="9">
    <w:name w:val="font71"/>
    <w:basedOn w:val="4"/>
    <w:autoRedefine/>
    <w:qFormat/>
    <w:uiPriority w:val="0"/>
    <w:rPr>
      <w:rFonts w:hint="eastAsia" w:ascii="宋体" w:hAnsi="宋体" w:eastAsia="宋体" w:cs="宋体"/>
      <w:color w:val="000000"/>
      <w:sz w:val="18"/>
      <w:szCs w:val="18"/>
      <w:u w:val="none"/>
    </w:rPr>
  </w:style>
  <w:style w:type="character" w:customStyle="1" w:styleId="10">
    <w:name w:val="font41"/>
    <w:basedOn w:val="4"/>
    <w:autoRedefine/>
    <w:qFormat/>
    <w:uiPriority w:val="0"/>
    <w:rPr>
      <w:rFonts w:hint="eastAsia" w:ascii="仿宋" w:hAnsi="仿宋" w:eastAsia="仿宋" w:cs="仿宋"/>
      <w:color w:val="000000"/>
      <w:sz w:val="20"/>
      <w:szCs w:val="20"/>
      <w:u w:val="none"/>
    </w:rPr>
  </w:style>
  <w:style w:type="character" w:customStyle="1" w:styleId="11">
    <w:name w:val="font51"/>
    <w:basedOn w:val="4"/>
    <w:autoRedefine/>
    <w:qFormat/>
    <w:uiPriority w:val="0"/>
    <w:rPr>
      <w:rFonts w:hint="eastAsia" w:ascii="宋体" w:hAnsi="宋体" w:eastAsia="宋体" w:cs="宋体"/>
      <w:color w:val="000000"/>
      <w:sz w:val="18"/>
      <w:szCs w:val="18"/>
      <w:u w:val="none"/>
    </w:rPr>
  </w:style>
  <w:style w:type="character" w:customStyle="1" w:styleId="12">
    <w:name w:val="font21"/>
    <w:basedOn w:val="4"/>
    <w:autoRedefine/>
    <w:qFormat/>
    <w:uiPriority w:val="0"/>
    <w:rPr>
      <w:rFonts w:hint="eastAsia" w:ascii="宋体" w:hAnsi="宋体" w:eastAsia="宋体" w:cs="宋体"/>
      <w:color w:val="000000"/>
      <w:sz w:val="18"/>
      <w:szCs w:val="18"/>
      <w:u w:val="none"/>
    </w:rPr>
  </w:style>
  <w:style w:type="character" w:customStyle="1" w:styleId="13">
    <w:name w:val="font81"/>
    <w:basedOn w:val="4"/>
    <w:autoRedefine/>
    <w:qFormat/>
    <w:uiPriority w:val="0"/>
    <w:rPr>
      <w:rFonts w:ascii="仿宋" w:hAnsi="仿宋" w:eastAsia="仿宋" w:cs="仿宋"/>
      <w:color w:val="000000"/>
      <w:sz w:val="18"/>
      <w:szCs w:val="18"/>
      <w:u w:val="none"/>
    </w:rPr>
  </w:style>
  <w:style w:type="character" w:customStyle="1" w:styleId="14">
    <w:name w:val="font11"/>
    <w:basedOn w:val="4"/>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15223</Words>
  <Characters>16631</Characters>
  <Lines>0</Lines>
  <Paragraphs>0</Paragraphs>
  <TotalTime>39</TotalTime>
  <ScaleCrop>false</ScaleCrop>
  <LinksUpToDate>false</LinksUpToDate>
  <CharactersWithSpaces>16877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2023-05-10T01:13:00Z</dcterms:created>
  <dc:creator>111</dc:creator>
  <cp:lastModifiedBy>杨婧妍</cp:lastModifiedBy>
  <cp:lastPrinted>2023-11-03T03:41:00Z</cp:lastPrinted>
  <dcterms:modified xsi:type="dcterms:W3CDTF">2025-03-07T08:40:19Z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4653631EAD334C0E84CCD5B5D021CDD6</vt:lpwstr>
  </property>
  <property fmtid="{D5CDD505-2E9C-101B-9397-08002B2CF9AE}" pid="4" name="KSOTemplateDocerSaveRecord">
    <vt:lpwstr>eyJoZGlkIjoiMTg1M2E5MDljMGM0OTBlMGEwYWZiNjk3MzZkYjU2YzMiLCJ1c2VySWQiOiI1NDEyMTMxMDIifQ==</vt:lpwstr>
  </property>
</Properties>
</file>