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28"/>
          <w:szCs w:val="28"/>
          <w:lang w:val="en-US" w:eastAsia="zh-CN"/>
        </w:rPr>
      </w:pPr>
      <w:bookmarkStart w:id="1" w:name="_GoBack"/>
      <w:bookmarkEnd w:id="1"/>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2024年度市卫生健康委主管部门预算公开情况说明</w:t>
      </w:r>
    </w:p>
    <w:p>
      <w:pPr>
        <w:ind w:firstLine="640"/>
        <w:jc w:val="both"/>
        <w:rPr>
          <w:rFonts w:hint="eastAsia" w:ascii="黑体" w:hAnsi="黑体" w:eastAsia="黑体" w:cs="黑体"/>
          <w:sz w:val="32"/>
          <w:szCs w:val="32"/>
          <w:lang w:val="en-US" w:eastAsia="zh-CN"/>
        </w:rPr>
      </w:pPr>
    </w:p>
    <w:p>
      <w:pPr>
        <w:numPr>
          <w:ilvl w:val="0"/>
          <w:numId w:val="0"/>
        </w:numPr>
        <w:ind w:firstLine="640" w:firstLineChars="200"/>
        <w:jc w:val="both"/>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目录</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一、部门（单位）主要职责</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二、</w:t>
      </w:r>
      <w:r>
        <w:rPr>
          <w:rFonts w:hint="eastAsia" w:ascii="黑体" w:hAnsi="黑体" w:eastAsia="黑体" w:cs="黑体"/>
          <w:b w:val="0"/>
          <w:bCs w:val="0"/>
          <w:sz w:val="32"/>
          <w:szCs w:val="32"/>
          <w:lang w:val="en-US" w:eastAsia="zh-CN"/>
        </w:rPr>
        <w:t>机构设置情况</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三、预算收支安排及增减变化情况</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四、机关运行经费安排情况说明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五、一般公共预算“三公”经费支出情况说明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六、</w:t>
      </w:r>
      <w:r>
        <w:rPr>
          <w:rFonts w:hint="default" w:ascii="黑体" w:hAnsi="黑体" w:eastAsia="黑体" w:cs="黑体"/>
          <w:b w:val="0"/>
          <w:bCs w:val="0"/>
          <w:sz w:val="32"/>
          <w:szCs w:val="32"/>
          <w:u w:val="none"/>
          <w:lang w:val="en-US" w:eastAsia="zh-CN"/>
        </w:rPr>
        <w:t>政府采购</w:t>
      </w:r>
      <w:r>
        <w:rPr>
          <w:rFonts w:hint="eastAsia" w:ascii="黑体" w:hAnsi="黑体" w:eastAsia="黑体" w:cs="黑体"/>
          <w:b w:val="0"/>
          <w:bCs w:val="0"/>
          <w:sz w:val="32"/>
          <w:szCs w:val="32"/>
          <w:u w:val="none"/>
          <w:lang w:val="en-US" w:eastAsia="zh-CN"/>
        </w:rPr>
        <w:t>安排情况</w:t>
      </w:r>
      <w:r>
        <w:rPr>
          <w:rFonts w:hint="default" w:ascii="黑体" w:hAnsi="黑体" w:eastAsia="黑体" w:cs="黑体"/>
          <w:b w:val="0"/>
          <w:bCs w:val="0"/>
          <w:sz w:val="32"/>
          <w:szCs w:val="32"/>
          <w:u w:val="none"/>
          <w:lang w:val="en-US" w:eastAsia="zh-CN"/>
        </w:rPr>
        <w:t>说明</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七、</w:t>
      </w:r>
      <w:r>
        <w:rPr>
          <w:rFonts w:hint="default" w:ascii="黑体" w:hAnsi="黑体" w:eastAsia="黑体" w:cs="黑体"/>
          <w:b w:val="0"/>
          <w:bCs w:val="0"/>
          <w:sz w:val="32"/>
          <w:szCs w:val="32"/>
          <w:u w:val="none"/>
          <w:lang w:val="en-US" w:eastAsia="zh-CN"/>
        </w:rPr>
        <w:t>国有资产占用情况</w:t>
      </w:r>
      <w:r>
        <w:rPr>
          <w:rFonts w:hint="eastAsia" w:ascii="黑体" w:hAnsi="黑体" w:eastAsia="黑体" w:cs="黑体"/>
          <w:b w:val="0"/>
          <w:bCs w:val="0"/>
          <w:sz w:val="32"/>
          <w:szCs w:val="32"/>
          <w:u w:val="none"/>
          <w:lang w:val="en-US" w:eastAsia="zh-CN"/>
        </w:rPr>
        <w:t>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八、重点项目预算绩效情况说明</w:t>
      </w:r>
    </w:p>
    <w:p>
      <w:pPr>
        <w:numPr>
          <w:ilvl w:val="0"/>
          <w:numId w:val="0"/>
        </w:numPr>
        <w:ind w:firstLine="640" w:firstLineChars="200"/>
        <w:jc w:val="both"/>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九、其他需要说明的情况</w:t>
      </w:r>
    </w:p>
    <w:p>
      <w:pPr>
        <w:numPr>
          <w:ilvl w:val="0"/>
          <w:numId w:val="0"/>
        </w:numPr>
        <w:ind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u w:val="none"/>
          <w:lang w:val="en-US" w:eastAsia="zh-CN"/>
        </w:rPr>
        <w:t>十、专业名词解释</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十一、2024部门预算表</w:t>
      </w:r>
    </w:p>
    <w:p>
      <w:pPr>
        <w:numPr>
          <w:ilvl w:val="0"/>
          <w:numId w:val="0"/>
        </w:numPr>
        <w:ind w:firstLine="640" w:firstLineChars="200"/>
        <w:jc w:val="both"/>
        <w:rPr>
          <w:rFonts w:hint="eastAsia" w:ascii="仿宋_GB2312" w:hAnsi="宋体" w:eastAsia="仿宋_GB2312"/>
          <w:b w:val="0"/>
          <w:bCs w:val="0"/>
          <w:sz w:val="32"/>
          <w:szCs w:val="32"/>
          <w:highlight w:val="none"/>
          <w:lang w:val="en-US" w:eastAsia="zh-CN"/>
        </w:rPr>
      </w:pPr>
      <w:r>
        <w:rPr>
          <w:rFonts w:hint="eastAsia" w:ascii="黑体" w:hAnsi="黑体" w:eastAsia="黑体" w:cs="黑体"/>
          <w:b w:val="0"/>
          <w:bCs w:val="0"/>
          <w:sz w:val="32"/>
          <w:szCs w:val="32"/>
          <w:u w:val="none"/>
          <w:lang w:val="en-US" w:eastAsia="zh-CN"/>
        </w:rPr>
        <w:t>十二、2024年项目支出绩效目标批复表</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第一部分  部门（单位）主要职责</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cs="Times New Roman"/>
          <w:sz w:val="32"/>
          <w:szCs w:val="32"/>
          <w:lang w:val="en-US" w:eastAsia="zh-CN"/>
        </w:rPr>
        <w:t>（1）</w:t>
      </w:r>
      <w:r>
        <w:rPr>
          <w:rFonts w:hint="eastAsia" w:ascii="仿宋_GB2312" w:hAnsi="仿宋" w:eastAsia="仿宋_GB2312"/>
          <w:sz w:val="32"/>
          <w:szCs w:val="32"/>
        </w:rPr>
        <w:t>贯彻落实国民健康政策，起草卫生健康事业发展的政策、规划，制定地方标准和技术规范并组织实施。统筹规划全市卫生健康资源配置，指导区域卫生健康规划的编制和实施。协调推进健康黄石建设。制定并组织实施推进卫生健康基本公共服务均等化、普惠化、便捷化和公共资源向基层延伸等政策措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协调推进深化医药卫生体制改革，研究提出深化医药卫生体制改革重大政策、任务、措施的建议。组织深化公立医院综合改革，推进管办分离，健全现代医院管理制度，制定并组织实施推动卫生健康公共服务提供主体多元化、提供方式多样化的政策措施。提出医疗服务和药品价格政策的建议。</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组织实施国家免疫规划，制定并落实全市疾病预防控制规划以及严重危害人民健康公共卫生问题的干预措施，组织开展传染病监测。负责卫生应急工作，组织指导突发公共卫生事件的预防控制和各类突发公共事件的医疗卫生救援。</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）组织拟订并协调落实应对人口老龄化政策措施，负责推进全市老年健康服务体系建设和医养结合工作。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贯彻落实国家药物政策和国家基本药物制度，开展药品使用监测、临床综合评价和短缺药品预警，提出符合全市实际的国家基本药物价格政策的建议，执行国家药典。组织开展食品安全风险监测评估，依法制定并公布食品安全地方标准。</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）负责职责范围内的职业卫生、放射卫生、环境卫生、学校卫生、公共场所卫生、饮用水卫生等公共卫生的监督管理，负责传染病防治监督，健全卫生健康综合监督体系。</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负责制定全市医疗机构、医疗服务行业管理政策措施并监督实施，加强行风建设，建立医疗服务评价和监督管理体系。会同有关部门贯彻执行国家卫生健康专业技术人员资格标准。制定并组织实施医疗服务规范、标准和卫生健康专业技术人员执业规则、服务规范。</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）负责计划生育管理和服务工作，开展人口监测预警，研究提出人口与家庭发展相关政策建议，完善计划生育政策。</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9</w:t>
      </w:r>
      <w:r>
        <w:rPr>
          <w:rFonts w:hint="eastAsia" w:ascii="仿宋_GB2312" w:hAnsi="仿宋" w:eastAsia="仿宋_GB2312"/>
          <w:sz w:val="32"/>
          <w:szCs w:val="32"/>
        </w:rPr>
        <w:t>）指导全市卫生健康工作，指导基层医疗卫生、妇幼健康服务体系和全科医生队伍建设。推进卫生健康科技创新发展。</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10</w:t>
      </w:r>
      <w:r>
        <w:rPr>
          <w:rFonts w:hint="eastAsia" w:ascii="仿宋_GB2312" w:hAnsi="仿宋" w:eastAsia="仿宋_GB2312"/>
          <w:sz w:val="32"/>
          <w:szCs w:val="32"/>
        </w:rPr>
        <w:t>）负责市保健对象的医疗保健工作，承担市委、市政府重要会议与重大活动的医疗卫生保障工作。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11</w:t>
      </w:r>
      <w:r>
        <w:rPr>
          <w:rFonts w:hint="eastAsia" w:ascii="仿宋_GB2312" w:hAnsi="仿宋" w:eastAsia="仿宋_GB2312"/>
          <w:sz w:val="32"/>
          <w:szCs w:val="32"/>
        </w:rPr>
        <w:t>）制定实施全市中医药发展规划，促进市中医药事业发展，推动全市中医药标准化和现代化。组织开展全市中医药人才培养、师承教育工作，推广中医药科技成果和适宜技术，传承和发展中医药文化。组织开展全市中药资源普查。加强中医药行业监管。</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12</w:t>
      </w:r>
      <w:r>
        <w:rPr>
          <w:rFonts w:hint="eastAsia" w:ascii="仿宋_GB2312" w:hAnsi="仿宋" w:eastAsia="仿宋_GB2312"/>
          <w:sz w:val="32"/>
          <w:szCs w:val="32"/>
        </w:rPr>
        <w:t>）归口管理市计划生育协会。</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13</w:t>
      </w:r>
      <w:r>
        <w:rPr>
          <w:rFonts w:hint="eastAsia" w:ascii="仿宋_GB2312" w:hAnsi="仿宋" w:eastAsia="仿宋_GB2312"/>
          <w:sz w:val="32"/>
          <w:szCs w:val="32"/>
        </w:rPr>
        <w:t>）完成上级交办的其他任务。</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14</w:t>
      </w:r>
      <w:r>
        <w:rPr>
          <w:rFonts w:hint="eastAsia" w:ascii="仿宋_GB2312" w:hAnsi="仿宋" w:eastAsia="仿宋_GB2312"/>
          <w:sz w:val="32"/>
          <w:szCs w:val="32"/>
        </w:rPr>
        <w:t>）职能转变。</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市卫生健康委员会要牢固树立大卫生、大健康理念，推动实施健康黄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15</w:t>
      </w:r>
      <w:r>
        <w:rPr>
          <w:rFonts w:hint="eastAsia" w:ascii="仿宋_GB2312" w:hAnsi="仿宋" w:eastAsia="仿宋_GB2312"/>
          <w:sz w:val="32"/>
          <w:szCs w:val="32"/>
        </w:rPr>
        <w:t>）有关职责分工。</w:t>
      </w:r>
    </w:p>
    <w:p>
      <w:pPr>
        <w:snapToGrid w:val="0"/>
        <w:spacing w:line="520" w:lineRule="exact"/>
        <w:ind w:firstLine="640" w:firstLineChars="200"/>
        <w:rPr>
          <w:rFonts w:hint="eastAsia" w:ascii="仿宋_GB2312" w:hAnsi="仿宋" w:eastAsia="仿宋_GB2312"/>
          <w:sz w:val="32"/>
          <w:szCs w:val="32"/>
        </w:rPr>
      </w:pPr>
      <w:r>
        <w:rPr>
          <w:rFonts w:hint="eastAsia" w:ascii="Calibri" w:hAnsi="Calibri" w:eastAsia="仿宋_GB2312" w:cs="Calibri"/>
          <w:sz w:val="32"/>
          <w:szCs w:val="32"/>
        </w:rPr>
        <w:fldChar w:fldCharType="begin"/>
      </w:r>
      <w:r>
        <w:rPr>
          <w:rFonts w:hint="eastAsia" w:ascii="Calibri" w:hAnsi="Calibri" w:eastAsia="仿宋_GB2312" w:cs="Calibri"/>
          <w:sz w:val="32"/>
          <w:szCs w:val="32"/>
        </w:rPr>
        <w:instrText xml:space="preserve"> = 1 \* GB3 \* MERGEFORMAT </w:instrText>
      </w:r>
      <w:r>
        <w:rPr>
          <w:rFonts w:hint="eastAsia" w:ascii="Calibri" w:hAnsi="Calibri" w:eastAsia="仿宋_GB2312" w:cs="Calibri"/>
          <w:sz w:val="32"/>
          <w:szCs w:val="32"/>
        </w:rPr>
        <w:fldChar w:fldCharType="separate"/>
      </w:r>
      <w:r>
        <w:rPr>
          <w:rFonts w:hint="default" w:ascii="Calibri" w:hAnsi="Calibri" w:eastAsia="仿宋_GB2312" w:cs="Calibri"/>
          <w:sz w:val="32"/>
          <w:szCs w:val="32"/>
        </w:rPr>
        <w:t>①</w:t>
      </w:r>
      <w:r>
        <w:rPr>
          <w:rFonts w:hint="eastAsia" w:ascii="Calibri" w:hAnsi="Calibri" w:eastAsia="仿宋_GB2312" w:cs="Calibri"/>
          <w:sz w:val="32"/>
          <w:szCs w:val="32"/>
        </w:rPr>
        <w:fldChar w:fldCharType="end"/>
      </w:r>
      <w:r>
        <w:rPr>
          <w:rFonts w:hint="eastAsia" w:ascii="Calibri" w:hAnsi="Calibri" w:eastAsia="仿宋_GB2312" w:cs="Calibri"/>
          <w:sz w:val="32"/>
          <w:szCs w:val="32"/>
        </w:rPr>
        <w:t>与</w:t>
      </w:r>
      <w:r>
        <w:rPr>
          <w:rFonts w:hint="eastAsia" w:ascii="仿宋_GB2312" w:hAnsi="仿宋" w:eastAsia="仿宋_GB2312"/>
          <w:sz w:val="32"/>
          <w:szCs w:val="32"/>
        </w:rPr>
        <w:t>市发展和改革委员会的有关职责分工。市卫生健康委员会负责开展人口监测预警工作，拟订生育政策，研究提出与生育相关的人口数量、素质、结构、分布方面的政策建议，促进生育政策和相关经济社会政策配套衔接，参与制定全市人口发展规划和政策，落实全市人口发展规划中的有关任务。市发展和改革委员会负责组织监测和评估人口变动情况及趋势影响，建立人口预测预报制度，开展重大决策人口影响评估，完善重大人口政策咨询机制。</w:t>
      </w:r>
    </w:p>
    <w:p>
      <w:pPr>
        <w:snapToGrid w:val="0"/>
        <w:spacing w:line="520" w:lineRule="exact"/>
        <w:ind w:firstLine="640" w:firstLineChars="200"/>
        <w:rPr>
          <w:rFonts w:hint="eastAsia" w:ascii="仿宋_GB2312" w:hAnsi="仿宋" w:eastAsia="仿宋_GB2312"/>
          <w:sz w:val="32"/>
          <w:szCs w:val="32"/>
        </w:rPr>
      </w:pPr>
      <w:r>
        <w:rPr>
          <w:rFonts w:hint="default" w:ascii="Calibri" w:hAnsi="Calibri" w:eastAsia="仿宋_GB2312" w:cs="Calibri"/>
          <w:sz w:val="32"/>
          <w:szCs w:val="32"/>
        </w:rPr>
        <w:t>②</w:t>
      </w:r>
      <w:r>
        <w:rPr>
          <w:rFonts w:hint="eastAsia" w:ascii="仿宋_GB2312" w:hAnsi="仿宋" w:eastAsia="仿宋_GB2312"/>
          <w:sz w:val="32"/>
          <w:szCs w:val="32"/>
        </w:rPr>
        <w:t>与市民政局的有关职责分工。市卫生健康委员会负责拟订应对全市人口老龄化、医养结合政策措施，综合协调、督促指导、组织推进全市老龄事业发展，承担老年疾病防治、老年人医疗照护、老年人心理健康与关怀服务等老年健康工作。市民政局负责统筹推进、督促指导、监督管理养老服务工作，拟订养老服务体系建设规划政策、标准并组织实施，承担老年人福利和特殊困难老年人救助工作。</w:t>
      </w:r>
    </w:p>
    <w:p>
      <w:pPr>
        <w:snapToGrid w:val="0"/>
        <w:spacing w:line="520" w:lineRule="exact"/>
        <w:ind w:firstLine="640" w:firstLineChars="200"/>
        <w:rPr>
          <w:rFonts w:hint="eastAsia" w:ascii="仿宋_GB2312" w:hAnsi="仿宋" w:eastAsia="仿宋_GB2312"/>
          <w:sz w:val="32"/>
          <w:szCs w:val="32"/>
        </w:rPr>
      </w:pPr>
      <w:r>
        <w:rPr>
          <w:rFonts w:hint="default" w:ascii="Calibri" w:hAnsi="Calibri" w:eastAsia="仿宋_GB2312" w:cs="Calibri"/>
          <w:sz w:val="32"/>
          <w:szCs w:val="32"/>
        </w:rPr>
        <w:t>③</w:t>
      </w:r>
      <w:r>
        <w:rPr>
          <w:rFonts w:hint="eastAsia" w:ascii="仿宋_GB2312" w:hAnsi="仿宋" w:eastAsia="仿宋_GB2312"/>
          <w:sz w:val="32"/>
          <w:szCs w:val="32"/>
        </w:rPr>
        <w:t>与黄石海关的有关职责分工。市卫生健康委员会负责传染病总体防治和突发公共卫生事件应急工作，与黄石海关建立健全应对口岸传染病疫情和公共卫生事件合作机制、传染病疫情和公共卫生事件通报交流机制、口岸输入性疫情通报和协作处理机制。</w:t>
      </w:r>
    </w:p>
    <w:p>
      <w:pPr>
        <w:snapToGrid w:val="0"/>
        <w:spacing w:line="520" w:lineRule="exact"/>
        <w:ind w:firstLine="640" w:firstLineChars="200"/>
        <w:rPr>
          <w:rFonts w:hint="eastAsia" w:ascii="仿宋_GB2312" w:hAnsi="仿宋" w:eastAsia="仿宋_GB2312"/>
          <w:sz w:val="32"/>
          <w:szCs w:val="32"/>
        </w:rPr>
      </w:pPr>
      <w:r>
        <w:rPr>
          <w:rFonts w:hint="eastAsia" w:ascii="仿宋" w:hAnsi="仿宋" w:eastAsia="仿宋" w:cs="仿宋"/>
          <w:sz w:val="32"/>
          <w:szCs w:val="32"/>
        </w:rPr>
        <w:t>④</w:t>
      </w:r>
      <w:r>
        <w:rPr>
          <w:rFonts w:hint="eastAsia" w:ascii="仿宋_GB2312" w:hAnsi="仿宋" w:eastAsia="仿宋_GB2312"/>
          <w:sz w:val="32"/>
          <w:szCs w:val="32"/>
        </w:rPr>
        <w:t>与市市场监督管理局的有关职责分工。市卫生健康委员会负责食品安全风险评估工作，会同市市场监督管理局等部门制定、实施食品安全风险监测计划。市卫生健康委员会对通过食品安全风险监测或者接到举报发现食品可能存在安全隐患的，应当立即组织进行检验和食品安全风险评估，并及时向市市场监督管理局等部门通报食品安全风险评估结果，对得出不安全结论的食品，市市场监督管理局等部门应当立即采取措施。市市场监督管理局等部门在监督管理工作中发现需要进行食品安全风险评估的，应当及时向市卫生健康委员会提出建议。市药品监督管理部门会同市卫生健康委员会建立重大药品不良反应和医疗器械不良事件相互通报机制和联合处置机制。</w:t>
      </w:r>
    </w:p>
    <w:p>
      <w:pPr>
        <w:snapToGrid w:val="0"/>
        <w:spacing w:line="520" w:lineRule="exact"/>
        <w:ind w:firstLine="640" w:firstLineChars="200"/>
        <w:rPr>
          <w:rFonts w:hint="eastAsia" w:ascii="仿宋_GB2312" w:hAnsi="仿宋" w:eastAsia="仿宋_GB2312"/>
          <w:sz w:val="32"/>
          <w:szCs w:val="32"/>
        </w:rPr>
      </w:pPr>
      <w:r>
        <w:rPr>
          <w:rFonts w:hint="eastAsia" w:ascii="微软雅黑" w:hAnsi="微软雅黑" w:eastAsia="微软雅黑" w:cs="微软雅黑"/>
          <w:sz w:val="32"/>
          <w:szCs w:val="32"/>
        </w:rPr>
        <w:t>⑤</w:t>
      </w:r>
      <w:r>
        <w:rPr>
          <w:rFonts w:hint="eastAsia" w:ascii="仿宋_GB2312" w:hAnsi="仿宋" w:eastAsia="仿宋_GB2312"/>
          <w:sz w:val="32"/>
          <w:szCs w:val="32"/>
        </w:rPr>
        <w:t>与市医疗保障局的有关职责分工。市卫生健康委员会、市医疗保障局等部门在医疗、医保、医药等方面加强制度、政策衔接，建立沟通协商机制，协同推进改革，提高医疗资源使用效率和医疗保障水平。</w:t>
      </w:r>
    </w:p>
    <w:p>
      <w:pPr>
        <w:adjustRightInd w:val="0"/>
        <w:snapToGrid w:val="0"/>
        <w:spacing w:line="580" w:lineRule="atLeas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sz w:val="32"/>
          <w:szCs w:val="32"/>
          <w:u w:val="none"/>
          <w:lang w:val="en-US" w:eastAsia="zh-CN"/>
        </w:rPr>
        <w:t xml:space="preserve">第二部分  </w:t>
      </w:r>
      <w:r>
        <w:rPr>
          <w:rFonts w:hint="eastAsia" w:ascii="黑体" w:hAnsi="黑体" w:eastAsia="黑体" w:cs="黑体"/>
          <w:b/>
          <w:bCs/>
          <w:sz w:val="32"/>
          <w:szCs w:val="32"/>
          <w:lang w:val="en-US" w:eastAsia="zh-CN"/>
        </w:rPr>
        <w:t>机构设置情况</w:t>
      </w:r>
    </w:p>
    <w:p>
      <w:pPr>
        <w:snapToGrid w:val="0"/>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本部门预算为汇总预算，有13</w:t>
      </w:r>
      <w:r>
        <w:rPr>
          <w:rFonts w:hint="default" w:ascii="仿宋_GB2312" w:hAnsi="仿宋" w:eastAsia="仿宋_GB2312" w:cs="Times New Roman"/>
          <w:sz w:val="32"/>
          <w:szCs w:val="32"/>
          <w:lang w:val="en-US" w:eastAsia="zh-CN"/>
        </w:rPr>
        <w:t>个</w:t>
      </w:r>
      <w:r>
        <w:rPr>
          <w:rFonts w:hint="eastAsia" w:ascii="仿宋_GB2312" w:hAnsi="仿宋" w:eastAsia="仿宋_GB2312" w:cs="Times New Roman"/>
          <w:sz w:val="32"/>
          <w:szCs w:val="32"/>
          <w:lang w:val="en-US" w:eastAsia="zh-CN"/>
        </w:rPr>
        <w:t>独立的预算编制单位，包括：</w:t>
      </w:r>
    </w:p>
    <w:p>
      <w:pPr>
        <w:snapToGrid w:val="0"/>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1、本级预算单位1</w:t>
      </w:r>
      <w:r>
        <w:rPr>
          <w:rFonts w:hint="default" w:ascii="仿宋_GB2312" w:hAnsi="仿宋" w:eastAsia="仿宋_GB2312" w:cs="Times New Roman"/>
          <w:sz w:val="32"/>
          <w:szCs w:val="32"/>
          <w:lang w:val="en-US" w:eastAsia="zh-CN"/>
        </w:rPr>
        <w:t>个</w:t>
      </w:r>
      <w:r>
        <w:rPr>
          <w:rFonts w:hint="eastAsia" w:ascii="仿宋_GB2312" w:hAnsi="仿宋" w:eastAsia="仿宋_GB2312" w:cs="Times New Roman"/>
          <w:sz w:val="32"/>
          <w:szCs w:val="32"/>
          <w:lang w:val="en-US" w:eastAsia="zh-CN"/>
        </w:rPr>
        <w:t>，其中：由委机关、1个直属参公管理事业单位、11个公益类事业单位合并编制报表。委机关内设办公室(财务科、宣传科）、政工科（机关党委办公室、离退休干部科）、规划发展与信息化科、健康黄石建设办公室（市爱国卫生运动委员会办公室、市血吸虫病防治领导小组办公室）、疾病预防控制科（卫生应急办公室、市国防动员委员会医疗卫生办公室）、医政医管科（体制改革科、药物政策与基本药物制度科）、基层卫生健康科(老龄健康科)、综合监督科(政策法规科、行政审批科)、妇幼健康科、中医药综合科（中医药医政管理科、科技教育科）、人口监测与家庭发展科、市委保健委员会办公室12个机构。</w:t>
      </w:r>
    </w:p>
    <w:p>
      <w:pPr>
        <w:snapToGrid w:val="0"/>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局直属参照公务员法管理事业单位1个。分别为：</w:t>
      </w:r>
      <w:r>
        <w:rPr>
          <w:rFonts w:hint="eastAsia" w:ascii="仿宋_GB2312" w:hAnsi="Calibri" w:eastAsia="仿宋_GB2312" w:cs="仿宋_GB2312"/>
          <w:sz w:val="32"/>
          <w:szCs w:val="32"/>
        </w:rPr>
        <w:t>黄石市卫生健康委员会综合监督执法局</w:t>
      </w:r>
      <w:r>
        <w:rPr>
          <w:rFonts w:hint="eastAsia" w:ascii="仿宋_GB2312" w:hAnsi="仿宋" w:eastAsia="仿宋_GB2312" w:cs="Times New Roman"/>
          <w:sz w:val="32"/>
          <w:szCs w:val="32"/>
          <w:lang w:val="en-US" w:eastAsia="zh-CN"/>
        </w:rPr>
        <w:t>。</w:t>
      </w:r>
    </w:p>
    <w:p>
      <w:pPr>
        <w:snapToGrid w:val="0"/>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公益一类事业单位6个。分别为：</w:t>
      </w:r>
      <w:r>
        <w:rPr>
          <w:rFonts w:hint="eastAsia" w:ascii="仿宋_GB2312" w:hAnsi="Calibri" w:eastAsia="仿宋_GB2312" w:cs="仿宋_GB2312"/>
          <w:sz w:val="32"/>
          <w:szCs w:val="32"/>
        </w:rPr>
        <w:t>黄石市疾病预防控制中心</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黄石市中心血站</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黄石市结核病防治院</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黄石市</w:t>
      </w:r>
      <w:r>
        <w:rPr>
          <w:rFonts w:hint="eastAsia" w:ascii="仿宋_GB2312" w:hAnsi="Calibri" w:eastAsia="仿宋_GB2312" w:cs="仿宋_GB2312"/>
          <w:sz w:val="32"/>
          <w:szCs w:val="32"/>
          <w:lang w:eastAsia="zh-CN"/>
        </w:rPr>
        <w:t>医学评价暨继续教育</w:t>
      </w:r>
      <w:r>
        <w:rPr>
          <w:rFonts w:hint="eastAsia" w:ascii="仿宋_GB2312" w:hAnsi="Calibri" w:eastAsia="仿宋_GB2312" w:cs="仿宋_GB2312"/>
          <w:sz w:val="32"/>
          <w:szCs w:val="32"/>
        </w:rPr>
        <w:t>办公室</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黄石市临床检验中心</w:t>
      </w:r>
      <w:r>
        <w:rPr>
          <w:rFonts w:hint="eastAsia" w:ascii="仿宋_GB2312" w:hAnsi="Calibri" w:eastAsia="仿宋_GB2312" w:cs="仿宋_GB2312"/>
          <w:sz w:val="32"/>
          <w:szCs w:val="32"/>
          <w:lang w:eastAsia="zh-CN"/>
        </w:rPr>
        <w:t>、黄石市急救中心</w:t>
      </w:r>
      <w:r>
        <w:rPr>
          <w:rFonts w:hint="eastAsia" w:ascii="仿宋_GB2312" w:hAnsi="仿宋" w:eastAsia="仿宋_GB2312" w:cs="Times New Roman"/>
          <w:sz w:val="32"/>
          <w:szCs w:val="32"/>
          <w:lang w:val="en-US" w:eastAsia="zh-CN"/>
        </w:rPr>
        <w:t>。</w:t>
      </w:r>
    </w:p>
    <w:p>
      <w:pPr>
        <w:snapToGrid w:val="0"/>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公益二类事业单位5个。分别为：</w:t>
      </w:r>
      <w:r>
        <w:rPr>
          <w:rFonts w:hint="eastAsia" w:ascii="仿宋_GB2312" w:hAnsi="Calibri" w:eastAsia="仿宋_GB2312" w:cs="仿宋_GB2312"/>
          <w:sz w:val="32"/>
          <w:szCs w:val="32"/>
        </w:rPr>
        <w:t>黄石市临床放射杂志社</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黄石市时珍国药杂志社</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鄂东医疗集团市中心医院</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黄石市中医医院</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rPr>
        <w:t>鄂东医疗集团市妇幼保健院</w:t>
      </w:r>
      <w:r>
        <w:rPr>
          <w:rFonts w:hint="eastAsia" w:ascii="仿宋_GB2312" w:hAnsi="仿宋" w:eastAsia="仿宋_GB2312" w:cs="Times New Roman"/>
          <w:sz w:val="32"/>
          <w:szCs w:val="32"/>
          <w:lang w:val="en-US" w:eastAsia="zh-CN"/>
        </w:rPr>
        <w:t>。</w:t>
      </w:r>
    </w:p>
    <w:p>
      <w:pPr>
        <w:snapToGrid w:val="0"/>
        <w:spacing w:line="520" w:lineRule="exact"/>
        <w:ind w:firstLine="640" w:firstLineChars="200"/>
        <w:rPr>
          <w:rFonts w:ascii="仿宋_GB2312" w:eastAsia="仿宋_GB2312" w:cs="仿宋_GB2312"/>
          <w:sz w:val="32"/>
          <w:szCs w:val="32"/>
        </w:rPr>
      </w:pPr>
      <w:r>
        <w:rPr>
          <w:rFonts w:hint="eastAsia" w:ascii="仿宋_GB2312" w:hAnsi="仿宋" w:eastAsia="仿宋_GB2312" w:cs="Times New Roman"/>
          <w:sz w:val="32"/>
          <w:szCs w:val="32"/>
          <w:lang w:val="en-US" w:eastAsia="zh-CN"/>
        </w:rPr>
        <w:t>2、下属单位具体包括：</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702"/>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序号</w:t>
            </w:r>
          </w:p>
        </w:tc>
        <w:tc>
          <w:tcPr>
            <w:tcW w:w="5702"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单位名称</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预算级次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ascii="仿宋_GB2312" w:hAnsi="Calibri" w:eastAsia="仿宋_GB2312" w:cs="仿宋_GB2312"/>
                <w:sz w:val="32"/>
                <w:szCs w:val="32"/>
              </w:rPr>
              <w:t>1</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黄石市卫生健康委员会</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一级单位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ascii="仿宋_GB2312" w:hAnsi="Calibri" w:eastAsia="仿宋_GB2312" w:cs="仿宋_GB2312"/>
                <w:sz w:val="32"/>
                <w:szCs w:val="32"/>
              </w:rPr>
              <w:t>2</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黄石市卫生健康委员会综合监督执法局</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ascii="仿宋_GB2312" w:hAnsi="Calibri" w:eastAsia="仿宋_GB2312" w:cs="仿宋_GB2312"/>
                <w:sz w:val="32"/>
                <w:szCs w:val="32"/>
              </w:rPr>
              <w:t>3</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黄石市疾病预防控制中心</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ascii="仿宋_GB2312" w:hAnsi="Calibri" w:eastAsia="仿宋_GB2312" w:cs="仿宋_GB2312"/>
                <w:sz w:val="32"/>
                <w:szCs w:val="32"/>
              </w:rPr>
              <w:t>4</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黄石市中心血站</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ascii="仿宋_GB2312" w:hAnsi="Calibri" w:eastAsia="仿宋_GB2312" w:cs="仿宋_GB2312"/>
                <w:sz w:val="32"/>
                <w:szCs w:val="32"/>
              </w:rPr>
              <w:t>5</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黄石市结核病防治院</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ascii="仿宋_GB2312" w:hAnsi="Calibri" w:eastAsia="仿宋_GB2312" w:cs="仿宋_GB2312"/>
                <w:sz w:val="32"/>
                <w:szCs w:val="32"/>
              </w:rPr>
              <w:t>6</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w:t>
            </w:r>
            <w:r>
              <w:rPr>
                <w:rFonts w:hint="eastAsia" w:ascii="仿宋_GB2312" w:hAnsi="Calibri" w:eastAsia="仿宋_GB2312" w:cs="仿宋_GB2312"/>
                <w:sz w:val="32"/>
                <w:szCs w:val="32"/>
                <w:lang w:eastAsia="zh-CN"/>
              </w:rPr>
              <w:t>医学评价暨继续教育</w:t>
            </w:r>
            <w:r>
              <w:rPr>
                <w:rFonts w:hint="eastAsia" w:ascii="仿宋_GB2312" w:hAnsi="Calibri" w:eastAsia="仿宋_GB2312" w:cs="仿宋_GB2312"/>
                <w:sz w:val="32"/>
                <w:szCs w:val="32"/>
              </w:rPr>
              <w:t>办公室</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ascii="仿宋_GB2312" w:hAnsi="Calibri" w:eastAsia="仿宋_GB2312" w:cs="仿宋_GB2312"/>
                <w:sz w:val="32"/>
                <w:szCs w:val="32"/>
              </w:rPr>
            </w:pPr>
            <w:r>
              <w:rPr>
                <w:rFonts w:ascii="仿宋_GB2312" w:hAnsi="Calibri" w:eastAsia="仿宋_GB2312" w:cs="仿宋_GB2312"/>
                <w:sz w:val="32"/>
                <w:szCs w:val="32"/>
              </w:rPr>
              <w:t>7</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黄石市临床检验中心</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val="en-US" w:eastAsia="zh-CN"/>
              </w:rPr>
              <w:t>8</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黄石市临床放射杂志社</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val="en-US" w:eastAsia="zh-CN"/>
              </w:rPr>
              <w:t>9</w:t>
            </w:r>
          </w:p>
        </w:tc>
        <w:tc>
          <w:tcPr>
            <w:tcW w:w="5702" w:type="dxa"/>
          </w:tcPr>
          <w:p>
            <w:pPr>
              <w:rPr>
                <w:rFonts w:ascii="仿宋_GB2312" w:hAnsi="Calibri" w:eastAsia="仿宋_GB2312" w:cs="仿宋_GB2312"/>
                <w:sz w:val="32"/>
                <w:szCs w:val="32"/>
              </w:rPr>
            </w:pPr>
            <w:r>
              <w:rPr>
                <w:rFonts w:hint="eastAsia" w:ascii="仿宋_GB2312" w:hAnsi="Calibri" w:eastAsia="仿宋_GB2312" w:cs="仿宋_GB2312"/>
                <w:sz w:val="32"/>
                <w:szCs w:val="32"/>
              </w:rPr>
              <w:t>黄石市时珍国药杂志社</w:t>
            </w:r>
          </w:p>
        </w:tc>
        <w:tc>
          <w:tcPr>
            <w:tcW w:w="1934" w:type="dxa"/>
          </w:tcPr>
          <w:p>
            <w:pPr>
              <w:jc w:val="center"/>
              <w:rPr>
                <w:rFonts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10</w:t>
            </w:r>
          </w:p>
        </w:tc>
        <w:tc>
          <w:tcPr>
            <w:tcW w:w="5702" w:type="dxa"/>
          </w:tcPr>
          <w:p>
            <w:pPr>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黄石市急救中心</w:t>
            </w:r>
          </w:p>
        </w:tc>
        <w:tc>
          <w:tcPr>
            <w:tcW w:w="1934" w:type="dxa"/>
          </w:tcPr>
          <w:p>
            <w:pPr>
              <w:jc w:val="center"/>
              <w:rPr>
                <w:rFonts w:hint="eastAsia"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11</w:t>
            </w:r>
          </w:p>
        </w:tc>
        <w:tc>
          <w:tcPr>
            <w:tcW w:w="5702" w:type="dxa"/>
          </w:tcPr>
          <w:p>
            <w:pPr>
              <w:rPr>
                <w:rFonts w:hint="eastAsia" w:ascii="仿宋_GB2312" w:hAnsi="Calibri" w:eastAsia="仿宋_GB2312" w:cs="仿宋_GB2312"/>
                <w:sz w:val="32"/>
                <w:szCs w:val="32"/>
              </w:rPr>
            </w:pPr>
            <w:r>
              <w:rPr>
                <w:rFonts w:hint="eastAsia" w:ascii="仿宋_GB2312" w:hAnsi="Calibri" w:eastAsia="仿宋_GB2312" w:cs="仿宋_GB2312"/>
                <w:sz w:val="32"/>
                <w:szCs w:val="32"/>
              </w:rPr>
              <w:t>鄂东医疗集团市中心医院</w:t>
            </w:r>
          </w:p>
        </w:tc>
        <w:tc>
          <w:tcPr>
            <w:tcW w:w="1934" w:type="dxa"/>
          </w:tcPr>
          <w:p>
            <w:pPr>
              <w:jc w:val="center"/>
              <w:rPr>
                <w:rFonts w:hint="eastAsia"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12</w:t>
            </w:r>
          </w:p>
        </w:tc>
        <w:tc>
          <w:tcPr>
            <w:tcW w:w="5702" w:type="dxa"/>
          </w:tcPr>
          <w:p>
            <w:pPr>
              <w:rPr>
                <w:rFonts w:hint="eastAsia" w:ascii="仿宋_GB2312" w:hAnsi="Calibri" w:eastAsia="仿宋_GB2312" w:cs="仿宋_GB2312"/>
                <w:sz w:val="32"/>
                <w:szCs w:val="32"/>
              </w:rPr>
            </w:pPr>
            <w:r>
              <w:rPr>
                <w:rFonts w:hint="eastAsia" w:ascii="仿宋_GB2312" w:hAnsi="Calibri" w:eastAsia="仿宋_GB2312" w:cs="仿宋_GB2312"/>
                <w:sz w:val="32"/>
                <w:szCs w:val="32"/>
              </w:rPr>
              <w:t>黄石市中医医院</w:t>
            </w:r>
          </w:p>
        </w:tc>
        <w:tc>
          <w:tcPr>
            <w:tcW w:w="1934" w:type="dxa"/>
          </w:tcPr>
          <w:p>
            <w:pPr>
              <w:jc w:val="center"/>
              <w:rPr>
                <w:rFonts w:hint="eastAsia" w:ascii="仿宋_GB2312" w:hAnsi="Calibri" w:eastAsia="仿宋_GB2312" w:cs="仿宋_GB2312"/>
                <w:sz w:val="32"/>
                <w:szCs w:val="32"/>
              </w:rPr>
            </w:pPr>
            <w:r>
              <w:rPr>
                <w:rFonts w:hint="eastAsia" w:ascii="仿宋_GB2312" w:hAnsi="Calibri" w:eastAsia="仿宋_GB2312" w:cs="仿宋_GB2312"/>
                <w:sz w:val="32"/>
                <w:szCs w:val="32"/>
              </w:rPr>
              <w:t>二级单位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jc w:val="center"/>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13</w:t>
            </w:r>
          </w:p>
        </w:tc>
        <w:tc>
          <w:tcPr>
            <w:tcW w:w="5702" w:type="dxa"/>
          </w:tcPr>
          <w:p>
            <w:pPr>
              <w:rPr>
                <w:rFonts w:hint="eastAsia" w:ascii="仿宋_GB2312" w:hAnsi="Calibri" w:eastAsia="仿宋_GB2312" w:cs="仿宋_GB2312"/>
                <w:sz w:val="32"/>
                <w:szCs w:val="32"/>
              </w:rPr>
            </w:pPr>
            <w:r>
              <w:rPr>
                <w:rFonts w:hint="eastAsia" w:ascii="仿宋_GB2312" w:hAnsi="Calibri" w:eastAsia="仿宋_GB2312" w:cs="仿宋_GB2312"/>
                <w:sz w:val="32"/>
                <w:szCs w:val="32"/>
              </w:rPr>
              <w:t>鄂东医疗集团市妇幼保健院</w:t>
            </w:r>
          </w:p>
        </w:tc>
        <w:tc>
          <w:tcPr>
            <w:tcW w:w="1934" w:type="dxa"/>
          </w:tcPr>
          <w:p>
            <w:pPr>
              <w:jc w:val="center"/>
              <w:rPr>
                <w:rFonts w:hint="eastAsia" w:ascii="仿宋_GB2312" w:hAnsi="Calibri" w:eastAsia="仿宋_GB2312" w:cs="仿宋_GB2312"/>
                <w:sz w:val="32"/>
                <w:szCs w:val="32"/>
              </w:rPr>
            </w:pPr>
            <w:r>
              <w:rPr>
                <w:rFonts w:hint="eastAsia" w:ascii="仿宋_GB2312" w:hAnsi="Calibri" w:eastAsia="仿宋_GB2312" w:cs="仿宋_GB2312"/>
                <w:sz w:val="32"/>
                <w:szCs w:val="32"/>
              </w:rPr>
              <w:t>二级单位</w:t>
            </w:r>
          </w:p>
        </w:tc>
      </w:tr>
    </w:tbl>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第三部分  预算收支安排及增减变化情况</w:t>
      </w:r>
    </w:p>
    <w:p>
      <w:pPr>
        <w:adjustRightInd w:val="0"/>
        <w:snapToGrid w:val="0"/>
        <w:spacing w:line="580" w:lineRule="atLeast"/>
        <w:ind w:firstLine="643" w:firstLineChars="200"/>
        <w:rPr>
          <w:rFonts w:hint="eastAsia" w:ascii="仿宋_GB2312" w:hAnsi="宋体" w:eastAsia="仿宋_GB2312"/>
          <w:b/>
          <w:bCs w:val="0"/>
          <w:sz w:val="32"/>
          <w:szCs w:val="32"/>
          <w:highlight w:val="none"/>
          <w:lang w:val="en-US" w:eastAsia="zh-CN"/>
        </w:rPr>
      </w:pP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一</w:t>
      </w:r>
      <w:r>
        <w:rPr>
          <w:rFonts w:hint="eastAsia" w:ascii="仿宋_GB2312" w:hAnsi="宋体"/>
          <w:b/>
          <w:bCs w:val="0"/>
          <w:sz w:val="32"/>
          <w:szCs w:val="32"/>
          <w:highlight w:val="none"/>
          <w:lang w:val="en-US" w:eastAsia="zh-CN"/>
        </w:rPr>
        <w:t>）</w:t>
      </w:r>
      <w:r>
        <w:rPr>
          <w:rFonts w:hint="eastAsia" w:ascii="仿宋_GB2312" w:hAnsi="宋体" w:eastAsia="仿宋_GB2312"/>
          <w:b/>
          <w:bCs w:val="0"/>
          <w:sz w:val="32"/>
          <w:szCs w:val="32"/>
          <w:highlight w:val="none"/>
          <w:lang w:val="en-US" w:eastAsia="zh-CN"/>
        </w:rPr>
        <w:t>收</w:t>
      </w:r>
      <w:r>
        <w:rPr>
          <w:rFonts w:hint="eastAsia" w:ascii="仿宋_GB2312" w:hAnsi="宋体"/>
          <w:b/>
          <w:bCs w:val="0"/>
          <w:sz w:val="32"/>
          <w:szCs w:val="32"/>
          <w:highlight w:val="none"/>
          <w:lang w:val="en-US" w:eastAsia="zh-CN"/>
        </w:rPr>
        <w:t>入支出预算</w:t>
      </w:r>
      <w:r>
        <w:rPr>
          <w:rFonts w:hint="eastAsia" w:ascii="仿宋_GB2312" w:hAnsi="宋体" w:eastAsia="仿宋_GB2312"/>
          <w:b/>
          <w:bCs w:val="0"/>
          <w:sz w:val="32"/>
          <w:szCs w:val="32"/>
          <w:highlight w:val="none"/>
          <w:lang w:val="en-US" w:eastAsia="zh-CN"/>
        </w:rPr>
        <w:t>总体情况</w:t>
      </w:r>
      <w:r>
        <w:rPr>
          <w:rFonts w:hint="eastAsia" w:ascii="仿宋_GB2312" w:hAnsi="宋体"/>
          <w:b/>
          <w:bCs w:val="0"/>
          <w:sz w:val="32"/>
          <w:szCs w:val="32"/>
          <w:highlight w:val="none"/>
          <w:lang w:val="en-US" w:eastAsia="zh-CN"/>
        </w:rPr>
        <w:t>及增减变化情况</w:t>
      </w:r>
      <w:r>
        <w:rPr>
          <w:rFonts w:hint="eastAsia" w:ascii="仿宋_GB2312" w:hAnsi="宋体" w:eastAsia="仿宋_GB2312"/>
          <w:b/>
          <w:bCs w:val="0"/>
          <w:sz w:val="32"/>
          <w:szCs w:val="32"/>
          <w:highlight w:val="none"/>
          <w:lang w:val="en-US" w:eastAsia="zh-CN"/>
        </w:rPr>
        <w:t>说明</w:t>
      </w:r>
    </w:p>
    <w:p>
      <w:pPr>
        <w:bidi w:val="0"/>
        <w:ind w:firstLine="640" w:firstLineChars="200"/>
        <w:rPr>
          <w:rFonts w:hint="default" w:ascii="黑体" w:hAnsi="黑体" w:eastAsia="黑体" w:cs="黑体"/>
          <w:b/>
          <w:bCs w:val="0"/>
          <w:sz w:val="32"/>
          <w:szCs w:val="32"/>
          <w:lang w:val="en-US" w:eastAsia="zh-CN"/>
        </w:rPr>
      </w:pPr>
      <w:r>
        <w:rPr>
          <w:rFonts w:hint="eastAsia" w:ascii="仿宋_GB2312" w:hAnsi="宋体"/>
          <w:bCs/>
          <w:sz w:val="32"/>
          <w:szCs w:val="32"/>
          <w:highlight w:val="none"/>
          <w:lang w:val="en-US" w:eastAsia="zh-CN"/>
        </w:rPr>
        <w:t>按照综合预算的原则，</w:t>
      </w:r>
      <w:r>
        <w:rPr>
          <w:rFonts w:hint="eastAsia" w:ascii="仿宋_GB2312" w:hAnsi="仿宋_GB2312" w:cs="仿宋_GB2312"/>
          <w:sz w:val="32"/>
          <w:szCs w:val="32"/>
          <w:u w:val="single"/>
          <w:lang w:val="en-US" w:eastAsia="zh-CN"/>
        </w:rPr>
        <w:t>市卫健委</w:t>
      </w:r>
      <w:r>
        <w:rPr>
          <w:rFonts w:hint="eastAsia" w:ascii="仿宋_GB2312" w:hAnsi="宋体"/>
          <w:bCs/>
          <w:sz w:val="32"/>
          <w:szCs w:val="32"/>
          <w:highlight w:val="none"/>
          <w:lang w:val="en-US" w:eastAsia="zh-CN"/>
        </w:rPr>
        <w:t>所有收入和支出均纳入部门预算管理。</w:t>
      </w:r>
      <w:r>
        <w:rPr>
          <w:rFonts w:hint="eastAsia" w:ascii="仿宋_GB2312" w:hAnsi="宋体"/>
          <w:b/>
          <w:bCs w:val="0"/>
          <w:sz w:val="32"/>
          <w:szCs w:val="32"/>
          <w:highlight w:val="none"/>
          <w:lang w:val="en-US" w:eastAsia="zh-CN"/>
        </w:rPr>
        <w:t>收入包括：</w:t>
      </w:r>
      <w:r>
        <w:rPr>
          <w:rFonts w:hint="eastAsia" w:ascii="仿宋_GB2312" w:hAnsi="宋体"/>
          <w:bCs/>
          <w:sz w:val="32"/>
          <w:szCs w:val="32"/>
          <w:highlight w:val="none"/>
          <w:lang w:val="en-US" w:eastAsia="zh-CN"/>
        </w:rPr>
        <w:t>一般公共预算拨款收入、事业收入；</w:t>
      </w:r>
      <w:r>
        <w:rPr>
          <w:rFonts w:hint="eastAsia" w:ascii="仿宋_GB2312" w:hAnsi="宋体"/>
          <w:b/>
          <w:bCs w:val="0"/>
          <w:sz w:val="32"/>
          <w:szCs w:val="32"/>
          <w:highlight w:val="none"/>
          <w:lang w:val="en-US" w:eastAsia="zh-CN"/>
        </w:rPr>
        <w:t>支出包括：</w:t>
      </w:r>
      <w:r>
        <w:rPr>
          <w:rFonts w:hint="eastAsia" w:ascii="仿宋_GB2312" w:hAnsi="宋体"/>
          <w:bCs/>
          <w:sz w:val="32"/>
          <w:szCs w:val="32"/>
          <w:highlight w:val="none"/>
          <w:lang w:val="en-US" w:eastAsia="zh-CN"/>
        </w:rPr>
        <w:t>社会保障和就业支出、卫生健康支出</w:t>
      </w:r>
      <w:r>
        <w:rPr>
          <w:rFonts w:hint="eastAsia" w:ascii="仿宋_GB2312" w:hAnsi="仿宋_GB2312" w:cs="仿宋_GB2312"/>
          <w:sz w:val="32"/>
          <w:szCs w:val="32"/>
          <w:highlight w:val="none"/>
          <w:lang w:val="en-US" w:eastAsia="zh-CN"/>
        </w:rPr>
        <w:t>；</w:t>
      </w:r>
      <w:r>
        <w:rPr>
          <w:rFonts w:hint="eastAsia" w:ascii="黑体" w:hAnsi="黑体" w:eastAsia="黑体" w:cs="黑体"/>
          <w:b w:val="0"/>
          <w:bCs w:val="0"/>
          <w:sz w:val="32"/>
          <w:szCs w:val="32"/>
          <w:u w:val="none"/>
          <w:lang w:val="en-US" w:eastAsia="zh-CN"/>
        </w:rPr>
        <w:t>2024</w:t>
      </w:r>
      <w:r>
        <w:rPr>
          <w:rFonts w:hint="eastAsia" w:ascii="仿宋_GB2312" w:hAnsi="宋体" w:eastAsia="仿宋_GB2312"/>
          <w:b w:val="0"/>
          <w:bCs/>
          <w:sz w:val="32"/>
          <w:szCs w:val="32"/>
          <w:highlight w:val="none"/>
          <w:lang w:val="en-US" w:eastAsia="zh-CN"/>
        </w:rPr>
        <w:t>年</w:t>
      </w:r>
      <w:r>
        <w:rPr>
          <w:rFonts w:hint="eastAsia" w:ascii="仿宋_GB2312" w:hAnsi="宋体"/>
          <w:b w:val="0"/>
          <w:bCs/>
          <w:sz w:val="32"/>
          <w:szCs w:val="32"/>
          <w:highlight w:val="none"/>
          <w:lang w:val="en-US" w:eastAsia="zh-CN"/>
        </w:rPr>
        <w:t>度</w:t>
      </w:r>
      <w:r>
        <w:rPr>
          <w:rFonts w:hint="eastAsia" w:ascii="仿宋_GB2312" w:hAnsi="宋体" w:eastAsia="仿宋_GB2312"/>
          <w:b w:val="0"/>
          <w:bCs/>
          <w:sz w:val="32"/>
          <w:szCs w:val="32"/>
          <w:highlight w:val="none"/>
          <w:lang w:val="en-US" w:eastAsia="zh-CN"/>
        </w:rPr>
        <w:t>收支</w:t>
      </w:r>
      <w:r>
        <w:rPr>
          <w:rFonts w:hint="eastAsia" w:ascii="仿宋_GB2312" w:hAnsi="宋体"/>
          <w:b w:val="0"/>
          <w:bCs/>
          <w:sz w:val="32"/>
          <w:szCs w:val="32"/>
          <w:highlight w:val="none"/>
          <w:lang w:val="en-US" w:eastAsia="zh-CN"/>
        </w:rPr>
        <w:t>总预算</w:t>
      </w:r>
      <w:r>
        <w:rPr>
          <w:rFonts w:hint="eastAsia" w:ascii="仿宋_GB2312" w:hAnsi="宋体"/>
          <w:b w:val="0"/>
          <w:bCs/>
          <w:sz w:val="32"/>
          <w:szCs w:val="32"/>
          <w:highlight w:val="none"/>
          <w:u w:val="single"/>
          <w:lang w:val="en-US" w:eastAsia="zh-CN"/>
        </w:rPr>
        <w:t>22262.84</w:t>
      </w:r>
      <w:r>
        <w:rPr>
          <w:rFonts w:hint="eastAsia" w:ascii="仿宋_GB2312" w:hAnsi="宋体" w:eastAsia="仿宋_GB2312"/>
          <w:b w:val="0"/>
          <w:bCs/>
          <w:sz w:val="32"/>
          <w:szCs w:val="32"/>
          <w:highlight w:val="none"/>
          <w:lang w:val="en-US" w:eastAsia="zh-CN"/>
        </w:rPr>
        <w:t>万元。</w:t>
      </w:r>
    </w:p>
    <w:p>
      <w:pPr>
        <w:bidi w:val="0"/>
        <w:ind w:firstLine="640" w:firstLineChars="200"/>
        <w:rPr>
          <w:rFonts w:hint="default" w:ascii="黑体" w:hAnsi="黑体" w:eastAsia="黑体" w:cs="黑体"/>
          <w:sz w:val="32"/>
          <w:szCs w:val="32"/>
          <w:lang w:val="en-US" w:eastAsia="zh-CN"/>
        </w:rPr>
      </w:pPr>
      <w:r>
        <w:rPr>
          <w:rFonts w:hint="eastAsia"/>
          <w:lang w:val="en-US" w:eastAsia="zh-CN"/>
        </w:rPr>
        <w:t>其中：1、收入预算情况。</w:t>
      </w:r>
      <w:r>
        <w:rPr>
          <w:rFonts w:hint="eastAsia" w:ascii="黑体" w:hAnsi="黑体" w:eastAsia="黑体" w:cs="黑体"/>
          <w:b w:val="0"/>
          <w:bCs w:val="0"/>
          <w:sz w:val="32"/>
          <w:szCs w:val="32"/>
          <w:u w:val="none"/>
          <w:lang w:val="en-US" w:eastAsia="zh-CN"/>
        </w:rPr>
        <w:t>2024</w:t>
      </w:r>
      <w:r>
        <w:rPr>
          <w:rFonts w:hint="eastAsia"/>
          <w:lang w:val="en-US" w:eastAsia="zh-CN"/>
        </w:rPr>
        <w:t>年度收入预算22262.84万元， 比上年预算增加945.44万元，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4.44</w:t>
      </w:r>
      <w:r>
        <w:rPr>
          <w:rFonts w:hint="eastAsia" w:ascii="仿宋_GB2312" w:eastAsia="仿宋_GB2312"/>
          <w:bCs/>
          <w:kern w:val="44"/>
          <w:sz w:val="32"/>
          <w:szCs w:val="32"/>
          <w:highlight w:val="none"/>
        </w:rPr>
        <w:t>%</w:t>
      </w:r>
      <w:r>
        <w:rPr>
          <w:rFonts w:hint="eastAsia"/>
          <w:lang w:val="en-US" w:eastAsia="zh-CN"/>
        </w:rPr>
        <w:t>。其中，一般公共预算拨款收入</w:t>
      </w:r>
      <w:r>
        <w:rPr>
          <w:rFonts w:hint="eastAsia" w:ascii="仿宋_GB2312"/>
          <w:bCs/>
          <w:kern w:val="44"/>
          <w:sz w:val="32"/>
          <w:szCs w:val="32"/>
          <w:highlight w:val="none"/>
          <w:u w:val="single"/>
          <w:lang w:val="en-US" w:eastAsia="zh-CN"/>
        </w:rPr>
        <w:t>17384.09</w:t>
      </w:r>
      <w:r>
        <w:rPr>
          <w:rFonts w:hint="eastAsia"/>
          <w:lang w:val="en-US" w:eastAsia="zh-CN"/>
        </w:rPr>
        <w:t>万元，</w:t>
      </w:r>
      <w:r>
        <w:rPr>
          <w:rFonts w:hint="eastAsia" w:ascii="仿宋_GB2312" w:hAnsi="宋体"/>
          <w:bCs/>
          <w:szCs w:val="32"/>
          <w:highlight w:val="none"/>
          <w:lang w:val="en-US" w:eastAsia="zh-CN"/>
        </w:rPr>
        <w:t>占本年收入</w:t>
      </w:r>
      <w:r>
        <w:rPr>
          <w:rFonts w:hint="eastAsia" w:ascii="仿宋_GB2312" w:hAnsi="宋体"/>
          <w:bCs/>
          <w:szCs w:val="32"/>
          <w:highlight w:val="none"/>
          <w:u w:val="single"/>
          <w:lang w:val="en-US" w:eastAsia="zh-CN"/>
        </w:rPr>
        <w:t>78.09</w:t>
      </w:r>
      <w:r>
        <w:rPr>
          <w:rFonts w:hint="eastAsia" w:ascii="仿宋_GB2312" w:hAnsi="宋体"/>
          <w:bCs/>
          <w:szCs w:val="32"/>
          <w:highlight w:val="none"/>
          <w:lang w:val="en-US" w:eastAsia="zh-CN"/>
        </w:rPr>
        <w:t>%，</w:t>
      </w:r>
      <w:r>
        <w:rPr>
          <w:rFonts w:hint="eastAsia"/>
          <w:lang w:val="en-US" w:eastAsia="zh-CN"/>
        </w:rPr>
        <w:t>包括经费拨款</w:t>
      </w:r>
      <w:r>
        <w:rPr>
          <w:rFonts w:hint="eastAsia" w:ascii="仿宋_GB2312" w:eastAsia="仿宋_GB2312"/>
          <w:bCs/>
          <w:kern w:val="44"/>
          <w:sz w:val="32"/>
          <w:szCs w:val="32"/>
          <w:highlight w:val="none"/>
          <w:u w:val="single"/>
        </w:rPr>
        <w:t>16821.0</w:t>
      </w:r>
      <w:r>
        <w:rPr>
          <w:rFonts w:hint="eastAsia" w:ascii="仿宋_GB2312"/>
          <w:bCs/>
          <w:kern w:val="44"/>
          <w:sz w:val="32"/>
          <w:szCs w:val="32"/>
          <w:highlight w:val="none"/>
          <w:u w:val="single"/>
          <w:lang w:val="en-US" w:eastAsia="zh-CN"/>
        </w:rPr>
        <w:t>9</w:t>
      </w:r>
      <w:r>
        <w:rPr>
          <w:rFonts w:hint="eastAsia"/>
          <w:lang w:val="en-US" w:eastAsia="zh-CN"/>
        </w:rPr>
        <w:t>万元、纳入一般公共预算管理的非税收入拨款563万元</w:t>
      </w:r>
      <w:r>
        <w:rPr>
          <w:rFonts w:hint="eastAsia" w:ascii="仿宋_GB2312" w:hAnsi="宋体"/>
          <w:bCs/>
          <w:szCs w:val="32"/>
          <w:highlight w:val="none"/>
          <w:lang w:val="en-US" w:eastAsia="zh-CN"/>
        </w:rPr>
        <w:t>；事业收入</w:t>
      </w:r>
      <w:r>
        <w:rPr>
          <w:rFonts w:hint="eastAsia" w:ascii="仿宋_GB2312" w:hAnsi="宋体"/>
          <w:bCs/>
          <w:szCs w:val="32"/>
          <w:highlight w:val="none"/>
          <w:u w:val="single"/>
          <w:lang w:val="en-US" w:eastAsia="zh-CN"/>
        </w:rPr>
        <w:t>4878.75</w:t>
      </w:r>
      <w:r>
        <w:rPr>
          <w:rFonts w:hint="eastAsia" w:ascii="仿宋_GB2312" w:hAnsi="宋体"/>
          <w:bCs/>
          <w:szCs w:val="32"/>
          <w:highlight w:val="none"/>
          <w:lang w:val="en-US" w:eastAsia="zh-CN"/>
        </w:rPr>
        <w:t>万元，占本年收入</w:t>
      </w:r>
      <w:r>
        <w:rPr>
          <w:rFonts w:hint="eastAsia" w:ascii="仿宋_GB2312" w:hAnsi="宋体"/>
          <w:bCs/>
          <w:szCs w:val="32"/>
          <w:highlight w:val="none"/>
          <w:u w:val="single"/>
          <w:lang w:val="en-US" w:eastAsia="zh-CN"/>
        </w:rPr>
        <w:t>21.91</w:t>
      </w:r>
      <w:r>
        <w:rPr>
          <w:rFonts w:hint="eastAsia" w:ascii="仿宋_GB2312" w:hAnsi="宋体"/>
          <w:bCs/>
          <w:szCs w:val="32"/>
          <w:highlight w:val="none"/>
          <w:lang w:val="en-US" w:eastAsia="zh-CN"/>
        </w:rPr>
        <w:t>%。</w:t>
      </w:r>
    </w:p>
    <w:p>
      <w:pPr>
        <w:numPr>
          <w:ilvl w:val="0"/>
          <w:numId w:val="0"/>
        </w:numPr>
        <w:bidi w:val="0"/>
        <w:ind w:firstLine="643" w:firstLineChars="200"/>
        <w:rPr>
          <w:rFonts w:hint="eastAsia"/>
          <w:b/>
          <w:bCs/>
          <w:lang w:val="en-US" w:eastAsia="zh-CN"/>
        </w:rPr>
      </w:pPr>
      <w:r>
        <w:rPr>
          <w:rFonts w:hint="eastAsia"/>
          <w:b/>
          <w:bCs/>
          <w:lang w:val="en-US" w:eastAsia="zh-CN"/>
        </w:rPr>
        <w:t>收入增加原因：</w:t>
      </w:r>
      <w:r>
        <w:rPr>
          <w:rFonts w:hint="eastAsia"/>
          <w:b w:val="0"/>
          <w:bCs w:val="0"/>
          <w:lang w:val="en-US" w:eastAsia="zh-CN"/>
        </w:rPr>
        <w:t>本年项目增加</w:t>
      </w:r>
      <w:r>
        <w:rPr>
          <w:rFonts w:hint="eastAsia"/>
          <w:b/>
          <w:bCs/>
          <w:lang w:val="en-US" w:eastAsia="zh-CN"/>
        </w:rPr>
        <w:t>。</w:t>
      </w:r>
    </w:p>
    <w:p>
      <w:pPr>
        <w:bidi w:val="0"/>
        <w:ind w:firstLine="640" w:firstLineChars="200"/>
        <w:rPr>
          <w:rFonts w:hint="eastAsia" w:ascii="黑体" w:hAnsi="黑体" w:eastAsia="仿宋_GB2312" w:cs="黑体"/>
          <w:sz w:val="32"/>
          <w:szCs w:val="32"/>
          <w:lang w:val="en-US" w:eastAsia="zh-CN"/>
        </w:rPr>
      </w:pPr>
      <w:r>
        <w:rPr>
          <w:rFonts w:hint="eastAsia"/>
          <w:lang w:val="en-US" w:eastAsia="zh-CN"/>
        </w:rPr>
        <w:t>2、支出预算情况。</w:t>
      </w:r>
      <w:r>
        <w:rPr>
          <w:rFonts w:hint="eastAsia" w:ascii="黑体" w:hAnsi="黑体" w:eastAsia="黑体" w:cs="黑体"/>
          <w:b w:val="0"/>
          <w:bCs w:val="0"/>
          <w:sz w:val="32"/>
          <w:szCs w:val="32"/>
          <w:u w:val="none"/>
          <w:lang w:val="en-US" w:eastAsia="zh-CN"/>
        </w:rPr>
        <w:t>2024</w:t>
      </w:r>
      <w:r>
        <w:rPr>
          <w:rFonts w:hint="eastAsia"/>
          <w:lang w:val="en-US" w:eastAsia="zh-CN"/>
        </w:rPr>
        <w:t>年度支出预算</w:t>
      </w:r>
      <w:r>
        <w:rPr>
          <w:rFonts w:hint="eastAsia" w:ascii="仿宋_GB2312"/>
          <w:bCs/>
          <w:kern w:val="44"/>
          <w:sz w:val="32"/>
          <w:szCs w:val="32"/>
          <w:highlight w:val="none"/>
          <w:u w:val="single"/>
          <w:lang w:val="en-US" w:eastAsia="zh-CN"/>
        </w:rPr>
        <w:t>22262.84</w:t>
      </w:r>
      <w:r>
        <w:rPr>
          <w:rFonts w:hint="eastAsia"/>
          <w:lang w:val="en-US" w:eastAsia="zh-CN"/>
        </w:rPr>
        <w:t>万元，</w:t>
      </w:r>
      <w:r>
        <w:rPr>
          <w:rFonts w:hint="eastAsia" w:ascii="仿宋_GB2312" w:eastAsia="仿宋_GB2312"/>
          <w:bCs/>
          <w:kern w:val="44"/>
          <w:sz w:val="32"/>
          <w:szCs w:val="32"/>
          <w:highlight w:val="none"/>
          <w:u w:val="single"/>
        </w:rPr>
        <w:t xml:space="preserve">      </w:t>
      </w:r>
      <w:r>
        <w:rPr>
          <w:rFonts w:hint="eastAsia"/>
          <w:lang w:val="en-US" w:eastAsia="zh-CN"/>
        </w:rPr>
        <w:t>万元， 比上年预算增加945.44万元，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4.44</w:t>
      </w:r>
      <w:r>
        <w:rPr>
          <w:rFonts w:hint="eastAsia" w:ascii="仿宋_GB2312" w:eastAsia="仿宋_GB2312"/>
          <w:bCs/>
          <w:kern w:val="44"/>
          <w:sz w:val="32"/>
          <w:szCs w:val="32"/>
          <w:highlight w:val="none"/>
        </w:rPr>
        <w:t>%</w:t>
      </w:r>
      <w:r>
        <w:rPr>
          <w:rFonts w:hint="eastAsia"/>
          <w:lang w:val="en-US" w:eastAsia="zh-CN"/>
        </w:rPr>
        <w:t>。</w:t>
      </w:r>
      <w:r>
        <w:rPr>
          <w:rFonts w:hint="eastAsia"/>
          <w:highlight w:val="none"/>
          <w:lang w:val="en-US" w:eastAsia="zh-CN"/>
        </w:rPr>
        <w:t>按支出功能分类本年支出预算构成为：社会保障和就业支出</w:t>
      </w:r>
      <w:r>
        <w:rPr>
          <w:rFonts w:hint="eastAsia" w:ascii="仿宋_GB2312"/>
          <w:bCs/>
          <w:kern w:val="44"/>
          <w:sz w:val="32"/>
          <w:szCs w:val="32"/>
          <w:highlight w:val="none"/>
          <w:u w:val="single"/>
          <w:lang w:val="en-US" w:eastAsia="zh-CN"/>
        </w:rPr>
        <w:t>11.82</w:t>
      </w:r>
      <w:r>
        <w:rPr>
          <w:rFonts w:hint="eastAsia"/>
          <w:highlight w:val="none"/>
          <w:lang w:val="en-US" w:eastAsia="zh-CN"/>
        </w:rPr>
        <w:t>万元，占本年支出</w:t>
      </w:r>
      <w:r>
        <w:rPr>
          <w:rFonts w:hint="eastAsia" w:ascii="仿宋_GB2312"/>
          <w:bCs/>
          <w:kern w:val="44"/>
          <w:sz w:val="32"/>
          <w:szCs w:val="32"/>
          <w:highlight w:val="none"/>
          <w:u w:val="single"/>
          <w:lang w:val="en-US" w:eastAsia="zh-CN"/>
        </w:rPr>
        <w:t>0.05</w:t>
      </w:r>
      <w:r>
        <w:rPr>
          <w:rFonts w:hint="eastAsia" w:ascii="仿宋_GB2312" w:eastAsia="仿宋_GB2312"/>
          <w:bCs/>
          <w:kern w:val="44"/>
          <w:sz w:val="32"/>
          <w:szCs w:val="32"/>
          <w:highlight w:val="none"/>
        </w:rPr>
        <w:t>%</w:t>
      </w:r>
      <w:r>
        <w:rPr>
          <w:rFonts w:hint="eastAsia"/>
          <w:highlight w:val="none"/>
          <w:lang w:val="en-US" w:eastAsia="zh-CN"/>
        </w:rPr>
        <w:t>；卫生健康支出</w:t>
      </w:r>
      <w:r>
        <w:rPr>
          <w:rFonts w:hint="eastAsia"/>
          <w:highlight w:val="none"/>
          <w:u w:val="single"/>
          <w:lang w:val="en-US" w:eastAsia="zh-CN"/>
        </w:rPr>
        <w:t>22251.02</w:t>
      </w:r>
      <w:r>
        <w:rPr>
          <w:rFonts w:hint="eastAsia"/>
          <w:highlight w:val="none"/>
          <w:lang w:val="en-US" w:eastAsia="zh-CN"/>
        </w:rPr>
        <w:t>万元，占本年支出</w:t>
      </w:r>
      <w:r>
        <w:rPr>
          <w:rFonts w:hint="eastAsia" w:ascii="仿宋_GB2312"/>
          <w:bCs/>
          <w:kern w:val="44"/>
          <w:sz w:val="32"/>
          <w:szCs w:val="32"/>
          <w:highlight w:val="none"/>
          <w:u w:val="single"/>
          <w:lang w:val="en-US" w:eastAsia="zh-CN"/>
        </w:rPr>
        <w:t>99.95</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p>
    <w:p>
      <w:pPr>
        <w:bidi w:val="0"/>
        <w:ind w:firstLine="640" w:firstLineChars="200"/>
        <w:rPr>
          <w:rFonts w:hint="eastAsia" w:ascii="黑体" w:hAnsi="黑体" w:eastAsia="黑体" w:cs="黑体"/>
          <w:sz w:val="32"/>
          <w:szCs w:val="32"/>
          <w:lang w:val="en-US" w:eastAsia="zh-CN"/>
        </w:rPr>
      </w:pPr>
      <w:r>
        <w:rPr>
          <w:rFonts w:hint="eastAsia"/>
          <w:highlight w:val="none"/>
          <w:lang w:val="en-US" w:eastAsia="zh-CN"/>
        </w:rPr>
        <w:t>按支出结构划分本年支出预算构成为：</w:t>
      </w:r>
      <w:r>
        <w:rPr>
          <w:rFonts w:hint="eastAsia"/>
          <w:lang w:val="en-US" w:eastAsia="zh-CN"/>
        </w:rPr>
        <w:t>基本支出13943.84万元，占总支出的</w:t>
      </w:r>
      <w:r>
        <w:rPr>
          <w:rFonts w:hint="eastAsia" w:ascii="仿宋_GB2312"/>
          <w:bCs/>
          <w:kern w:val="44"/>
          <w:sz w:val="32"/>
          <w:szCs w:val="32"/>
          <w:highlight w:val="none"/>
          <w:u w:val="single"/>
          <w:lang w:val="en-US" w:eastAsia="zh-CN"/>
        </w:rPr>
        <w:t>62.63</w:t>
      </w:r>
      <w:r>
        <w:rPr>
          <w:rFonts w:hint="eastAsia" w:ascii="仿宋_GB2312" w:eastAsia="仿宋_GB2312"/>
          <w:bCs/>
          <w:kern w:val="44"/>
          <w:sz w:val="32"/>
          <w:szCs w:val="32"/>
          <w:highlight w:val="none"/>
        </w:rPr>
        <w:t>%</w:t>
      </w:r>
      <w:r>
        <w:rPr>
          <w:rFonts w:hint="eastAsia"/>
          <w:lang w:val="en-US" w:eastAsia="zh-CN"/>
        </w:rPr>
        <w:t>；项目支出</w:t>
      </w:r>
      <w:r>
        <w:rPr>
          <w:rFonts w:hint="eastAsia" w:ascii="仿宋_GB2312"/>
          <w:bCs/>
          <w:kern w:val="44"/>
          <w:sz w:val="32"/>
          <w:szCs w:val="32"/>
          <w:highlight w:val="none"/>
          <w:u w:val="single"/>
          <w:lang w:val="en-US" w:eastAsia="zh-CN"/>
        </w:rPr>
        <w:t>8319</w:t>
      </w:r>
      <w:r>
        <w:rPr>
          <w:rFonts w:hint="eastAsia"/>
          <w:lang w:val="en-US" w:eastAsia="zh-CN"/>
        </w:rPr>
        <w:t>万元，占总支出的</w:t>
      </w:r>
      <w:r>
        <w:rPr>
          <w:rFonts w:hint="eastAsia" w:ascii="仿宋_GB2312"/>
          <w:bCs/>
          <w:kern w:val="44"/>
          <w:sz w:val="32"/>
          <w:szCs w:val="32"/>
          <w:highlight w:val="none"/>
          <w:u w:val="single"/>
          <w:lang w:val="en-US" w:eastAsia="zh-CN"/>
        </w:rPr>
        <w:t>37.37</w:t>
      </w:r>
      <w:r>
        <w:rPr>
          <w:rFonts w:hint="eastAsia" w:ascii="仿宋_GB2312" w:eastAsia="仿宋_GB2312"/>
          <w:bCs/>
          <w:kern w:val="44"/>
          <w:sz w:val="32"/>
          <w:szCs w:val="32"/>
          <w:highlight w:val="none"/>
        </w:rPr>
        <w:t>%</w:t>
      </w:r>
      <w:r>
        <w:rPr>
          <w:rFonts w:hint="eastAsia" w:ascii="仿宋_GB2312" w:eastAsia="仿宋_GB2312"/>
          <w:bCs/>
          <w:kern w:val="44"/>
          <w:szCs w:val="32"/>
          <w:highlight w:val="none"/>
        </w:rPr>
        <w:t>。</w:t>
      </w:r>
    </w:p>
    <w:p>
      <w:pPr>
        <w:numPr>
          <w:ilvl w:val="0"/>
          <w:numId w:val="0"/>
        </w:numPr>
        <w:bidi w:val="0"/>
        <w:ind w:firstLine="643" w:firstLineChars="200"/>
        <w:rPr>
          <w:rFonts w:hint="eastAsia"/>
          <w:b/>
          <w:bCs/>
          <w:lang w:val="en-US" w:eastAsia="zh-CN"/>
        </w:rPr>
      </w:pPr>
      <w:r>
        <w:rPr>
          <w:rFonts w:hint="eastAsia"/>
          <w:b/>
          <w:bCs/>
          <w:lang w:val="en-US" w:eastAsia="zh-CN"/>
        </w:rPr>
        <w:t>支出增加原因：</w:t>
      </w:r>
    </w:p>
    <w:p>
      <w:pPr>
        <w:numPr>
          <w:ilvl w:val="0"/>
          <w:numId w:val="0"/>
        </w:numPr>
        <w:bidi w:val="0"/>
        <w:ind w:firstLine="640" w:firstLineChars="200"/>
        <w:rPr>
          <w:rFonts w:hint="eastAsia"/>
          <w:lang w:val="en-US" w:eastAsia="zh-CN"/>
        </w:rPr>
      </w:pPr>
      <w:r>
        <w:rPr>
          <w:rFonts w:hint="eastAsia"/>
          <w:lang w:val="en-US" w:eastAsia="zh-CN"/>
        </w:rPr>
        <w:t>（1）</w:t>
      </w:r>
      <w:r>
        <w:rPr>
          <w:rFonts w:hint="eastAsia" w:ascii="黑体" w:hAnsi="黑体" w:eastAsia="黑体" w:cs="黑体"/>
          <w:b w:val="0"/>
          <w:bCs w:val="0"/>
          <w:sz w:val="32"/>
          <w:szCs w:val="32"/>
          <w:u w:val="none"/>
          <w:lang w:val="en-US" w:eastAsia="zh-CN"/>
        </w:rPr>
        <w:t>2024</w:t>
      </w:r>
      <w:r>
        <w:rPr>
          <w:rFonts w:hint="eastAsia"/>
          <w:lang w:val="en-US" w:eastAsia="zh-CN"/>
        </w:rPr>
        <w:t>年基本支出比上年预算减少2110.56万元，</w:t>
      </w:r>
      <w:r>
        <w:rPr>
          <w:rFonts w:hint="eastAsia" w:ascii="仿宋_GB2312" w:eastAsia="仿宋_GB2312"/>
          <w:bCs/>
          <w:kern w:val="44"/>
          <w:sz w:val="32"/>
          <w:szCs w:val="32"/>
          <w:highlight w:val="none"/>
          <w:lang w:eastAsia="zh-CN"/>
        </w:rPr>
        <w:t>下降</w:t>
      </w:r>
      <w:r>
        <w:rPr>
          <w:rFonts w:hint="eastAsia" w:ascii="仿宋_GB2312"/>
          <w:bCs/>
          <w:kern w:val="44"/>
          <w:sz w:val="32"/>
          <w:szCs w:val="32"/>
          <w:highlight w:val="none"/>
          <w:lang w:val="en-US" w:eastAsia="zh-CN"/>
        </w:rPr>
        <w:t>13.15</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lang w:val="en-US" w:eastAsia="zh-CN"/>
        </w:rPr>
        <w:t>主要是</w:t>
      </w:r>
      <w:r>
        <w:rPr>
          <w:rFonts w:hint="eastAsia" w:ascii="Times New Roman" w:hAnsi="Times New Roman" w:cs="Times New Roman"/>
          <w:lang w:val="en-US" w:eastAsia="zh-CN"/>
        </w:rPr>
        <w:t>市疾控中心2024年相关疫苗支出因不属于非税往来支出科目，故没有在2024年部门预算进行申报导致收入下降幅度较高。</w:t>
      </w:r>
    </w:p>
    <w:p>
      <w:pPr>
        <w:numPr>
          <w:ilvl w:val="0"/>
          <w:numId w:val="0"/>
        </w:numPr>
        <w:bidi w:val="0"/>
        <w:ind w:firstLine="640" w:firstLineChars="200"/>
        <w:rPr>
          <w:rFonts w:hint="eastAsia"/>
          <w:lang w:val="en-US" w:eastAsia="zh-CN"/>
        </w:rPr>
      </w:pPr>
      <w:r>
        <w:rPr>
          <w:rFonts w:hint="eastAsia"/>
          <w:lang w:val="en-US" w:eastAsia="zh-CN"/>
        </w:rPr>
        <w:t>（2）</w:t>
      </w:r>
      <w:r>
        <w:rPr>
          <w:rFonts w:hint="eastAsia" w:ascii="黑体" w:hAnsi="黑体" w:eastAsia="黑体" w:cs="黑体"/>
          <w:b w:val="0"/>
          <w:bCs w:val="0"/>
          <w:sz w:val="32"/>
          <w:szCs w:val="32"/>
          <w:u w:val="none"/>
          <w:lang w:val="en-US" w:eastAsia="zh-CN"/>
        </w:rPr>
        <w:t>2024</w:t>
      </w:r>
      <w:r>
        <w:rPr>
          <w:rFonts w:hint="eastAsia"/>
          <w:lang w:val="en-US" w:eastAsia="zh-CN"/>
        </w:rPr>
        <w:t>年项目支出比上年预算增加3056万元，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58.07</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lang w:val="en-US" w:eastAsia="zh-CN"/>
        </w:rPr>
        <w:t>主要是本年项目增加。</w:t>
      </w:r>
    </w:p>
    <w:p>
      <w:pPr>
        <w:bidi w:val="0"/>
        <w:ind w:firstLine="643" w:firstLineChars="200"/>
        <w:rPr>
          <w:rFonts w:hint="eastAsia"/>
          <w:b/>
          <w:bCs/>
          <w:lang w:val="en-US" w:eastAsia="zh-CN"/>
        </w:rPr>
      </w:pPr>
      <w:r>
        <w:rPr>
          <w:rFonts w:hint="eastAsia"/>
          <w:b/>
          <w:bCs/>
          <w:lang w:val="en-US" w:eastAsia="zh-CN"/>
        </w:rPr>
        <w:t>（二）财政拨款收支预算总体情况说明</w:t>
      </w:r>
    </w:p>
    <w:p>
      <w:pPr>
        <w:bidi w:val="0"/>
        <w:ind w:firstLine="640" w:firstLineChars="200"/>
        <w:rPr>
          <w:rFonts w:hint="eastAsia"/>
          <w:lang w:eastAsia="zh-CN"/>
        </w:rPr>
      </w:pPr>
      <w:r>
        <w:rPr>
          <w:rFonts w:hint="eastAsia" w:ascii="黑体" w:hAnsi="黑体" w:eastAsia="黑体" w:cs="黑体"/>
          <w:b w:val="0"/>
          <w:bCs w:val="0"/>
          <w:sz w:val="32"/>
          <w:szCs w:val="32"/>
          <w:u w:val="none"/>
          <w:lang w:val="en-US" w:eastAsia="zh-CN"/>
        </w:rPr>
        <w:t>2024</w:t>
      </w:r>
      <w:r>
        <w:rPr>
          <w:rFonts w:hint="eastAsia"/>
        </w:rPr>
        <w:t>年度财政拨款</w:t>
      </w:r>
      <w:r>
        <w:rPr>
          <w:rFonts w:hint="eastAsia"/>
          <w:lang w:val="en-US" w:eastAsia="zh-CN"/>
        </w:rPr>
        <w:t>收支总预算</w:t>
      </w:r>
      <w:r>
        <w:rPr>
          <w:rFonts w:hint="eastAsia"/>
          <w:u w:val="single"/>
          <w:lang w:val="en-US" w:eastAsia="zh-CN"/>
        </w:rPr>
        <w:t>17384.09</w:t>
      </w:r>
      <w:r>
        <w:rPr>
          <w:rFonts w:hint="eastAsia"/>
        </w:rPr>
        <w:t>万元</w:t>
      </w:r>
      <w:r>
        <w:rPr>
          <w:rFonts w:hint="eastAsia"/>
          <w:lang w:eastAsia="zh-CN"/>
        </w:rPr>
        <w:t>。</w:t>
      </w:r>
    </w:p>
    <w:p>
      <w:pPr>
        <w:bidi w:val="0"/>
        <w:rPr>
          <w:rFonts w:hint="eastAsia"/>
          <w:lang w:val="en-US" w:eastAsia="zh-CN"/>
        </w:rPr>
      </w:pPr>
      <w:r>
        <w:rPr>
          <w:rFonts w:hint="eastAsia"/>
          <w:lang w:val="en-US" w:eastAsia="zh-CN"/>
        </w:rPr>
        <w:t>收入包括：</w:t>
      </w:r>
      <w:r>
        <w:rPr>
          <w:rFonts w:hint="eastAsia" w:ascii="Times New Roman" w:hAnsi="Times New Roman" w:cs="Times New Roman"/>
          <w:lang w:val="en-US" w:eastAsia="zh-CN"/>
        </w:rPr>
        <w:t>2024年度财政拨款收支总预算17384.09万元，收入全部为一般公共预算拨款（无政府性基金预算及国有资本经营预算拨款）。</w:t>
      </w:r>
      <w:r>
        <w:rPr>
          <w:rFonts w:hint="eastAsia"/>
          <w:lang w:val="en-US" w:eastAsia="zh-CN"/>
        </w:rPr>
        <w:t>支出包括：</w:t>
      </w:r>
      <w:r>
        <w:rPr>
          <w:rFonts w:hint="eastAsia" w:ascii="仿宋_GB2312" w:hAnsi="宋体"/>
          <w:bCs/>
          <w:sz w:val="32"/>
          <w:szCs w:val="32"/>
          <w:highlight w:val="none"/>
          <w:lang w:val="en-US" w:eastAsia="zh-CN"/>
        </w:rPr>
        <w:t>社会保障和就业支出</w:t>
      </w:r>
      <w:r>
        <w:rPr>
          <w:rFonts w:hint="eastAsia" w:ascii="仿宋_GB2312" w:hAnsi="宋体"/>
          <w:bCs/>
          <w:szCs w:val="32"/>
          <w:highlight w:val="none"/>
          <w:u w:val="single"/>
          <w:lang w:val="en-US" w:eastAsia="zh-CN"/>
        </w:rPr>
        <w:t xml:space="preserve"> 11.82</w:t>
      </w:r>
      <w:r>
        <w:rPr>
          <w:rFonts w:hint="eastAsia" w:ascii="仿宋_GB2312" w:hAnsi="宋体"/>
          <w:bCs/>
          <w:szCs w:val="32"/>
          <w:highlight w:val="none"/>
          <w:lang w:val="en-US" w:eastAsia="zh-CN"/>
        </w:rPr>
        <w:t>万元，占</w:t>
      </w:r>
      <w:r>
        <w:rPr>
          <w:rFonts w:hint="eastAsia" w:ascii="仿宋_GB2312" w:hAnsi="宋体"/>
          <w:bCs/>
          <w:szCs w:val="32"/>
          <w:highlight w:val="none"/>
          <w:u w:val="single"/>
          <w:lang w:val="en-US" w:eastAsia="zh-CN"/>
        </w:rPr>
        <w:t>0.05</w:t>
      </w:r>
      <w:r>
        <w:rPr>
          <w:rFonts w:hint="eastAsia" w:ascii="仿宋_GB2312" w:hAnsi="宋体"/>
          <w:bCs/>
          <w:szCs w:val="32"/>
          <w:highlight w:val="none"/>
          <w:lang w:val="en-US" w:eastAsia="zh-CN"/>
        </w:rPr>
        <w:t>%；</w:t>
      </w:r>
      <w:r>
        <w:rPr>
          <w:rFonts w:hint="eastAsia" w:ascii="仿宋_GB2312" w:hAnsi="宋体"/>
          <w:bCs/>
          <w:sz w:val="32"/>
          <w:szCs w:val="32"/>
          <w:highlight w:val="none"/>
          <w:lang w:val="en-US" w:eastAsia="zh-CN"/>
        </w:rPr>
        <w:t>卫生健康支出</w:t>
      </w:r>
      <w:r>
        <w:rPr>
          <w:rFonts w:hint="eastAsia" w:ascii="仿宋_GB2312" w:hAnsi="宋体"/>
          <w:bCs/>
          <w:szCs w:val="32"/>
          <w:highlight w:val="none"/>
          <w:u w:val="single"/>
          <w:lang w:val="en-US" w:eastAsia="zh-CN"/>
        </w:rPr>
        <w:t>17372.27</w:t>
      </w:r>
      <w:r>
        <w:rPr>
          <w:rFonts w:hint="eastAsia" w:ascii="仿宋_GB2312" w:hAnsi="宋体"/>
          <w:bCs/>
          <w:szCs w:val="32"/>
          <w:highlight w:val="none"/>
          <w:lang w:val="en-US" w:eastAsia="zh-CN"/>
        </w:rPr>
        <w:t>万元，占</w:t>
      </w:r>
      <w:r>
        <w:rPr>
          <w:rFonts w:hint="eastAsia" w:ascii="仿宋_GB2312" w:hAnsi="宋体"/>
          <w:bCs/>
          <w:szCs w:val="32"/>
          <w:highlight w:val="none"/>
          <w:u w:val="single"/>
          <w:lang w:val="en-US" w:eastAsia="zh-CN"/>
        </w:rPr>
        <w:t>99.95</w:t>
      </w:r>
      <w:r>
        <w:rPr>
          <w:rFonts w:hint="eastAsia" w:ascii="仿宋_GB2312" w:hAnsi="宋体"/>
          <w:bCs/>
          <w:szCs w:val="32"/>
          <w:highlight w:val="none"/>
          <w:lang w:val="en-US" w:eastAsia="zh-CN"/>
        </w:rPr>
        <w:t>%。</w:t>
      </w:r>
    </w:p>
    <w:p>
      <w:pPr>
        <w:numPr>
          <w:ilvl w:val="0"/>
          <w:numId w:val="0"/>
        </w:numPr>
        <w:bidi w:val="0"/>
        <w:ind w:firstLine="643" w:firstLineChars="200"/>
        <w:rPr>
          <w:rFonts w:hint="eastAsia"/>
          <w:b/>
          <w:bCs/>
          <w:lang w:val="en-US" w:eastAsia="zh-CN"/>
        </w:rPr>
      </w:pPr>
      <w:r>
        <w:rPr>
          <w:rFonts w:hint="eastAsia"/>
          <w:b/>
          <w:bCs/>
          <w:lang w:val="en-US" w:eastAsia="zh-CN"/>
        </w:rPr>
        <w:t>（三）一般公共预算支出情况说明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1、一般公共预算支出规模变化</w:t>
      </w:r>
      <w:r>
        <w:rPr>
          <w:rFonts w:hint="eastAsia" w:ascii="楷体" w:hAnsi="楷体" w:eastAsia="楷体" w:cs="楷体"/>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年度</w:t>
      </w:r>
      <w:r>
        <w:rPr>
          <w:rFonts w:hint="eastAsia"/>
          <w:lang w:val="en-US" w:eastAsia="zh-CN"/>
        </w:rPr>
        <w:t>一般公共预算支出</w:t>
      </w:r>
      <w:r>
        <w:rPr>
          <w:rFonts w:hint="eastAsia" w:ascii="仿宋_GB2312"/>
          <w:bCs/>
          <w:kern w:val="44"/>
          <w:sz w:val="32"/>
          <w:szCs w:val="32"/>
          <w:highlight w:val="none"/>
          <w:u w:val="single"/>
          <w:lang w:val="en-US" w:eastAsia="zh-CN"/>
        </w:rPr>
        <w:t>17384.09</w:t>
      </w:r>
      <w:r>
        <w:rPr>
          <w:rFonts w:hint="eastAsia" w:ascii="仿宋_GB2312" w:eastAsia="仿宋_GB2312"/>
          <w:bCs/>
          <w:kern w:val="44"/>
          <w:sz w:val="32"/>
          <w:szCs w:val="32"/>
          <w:highlight w:val="none"/>
        </w:rPr>
        <w:t>万元，与</w:t>
      </w:r>
      <w:r>
        <w:rPr>
          <w:rFonts w:hint="eastAsia" w:ascii="仿宋_GB2312"/>
          <w:bCs/>
          <w:kern w:val="44"/>
          <w:sz w:val="32"/>
          <w:szCs w:val="32"/>
          <w:highlight w:val="none"/>
          <w:lang w:val="en-US" w:eastAsia="zh-CN"/>
        </w:rPr>
        <w:t>上年预算</w:t>
      </w:r>
      <w:r>
        <w:rPr>
          <w:rFonts w:hint="eastAsia" w:ascii="仿宋_GB2312" w:eastAsia="仿宋_GB2312"/>
          <w:bCs/>
          <w:kern w:val="44"/>
          <w:sz w:val="32"/>
          <w:szCs w:val="32"/>
          <w:highlight w:val="none"/>
        </w:rPr>
        <w:t>相比，</w:t>
      </w:r>
      <w:r>
        <w:rPr>
          <w:rFonts w:hint="eastAsia"/>
          <w:lang w:val="en-US" w:eastAsia="zh-CN"/>
        </w:rPr>
        <w:t>一般公共预算支出</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4434.6</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34.25</w:t>
      </w:r>
      <w:r>
        <w:rPr>
          <w:rFonts w:hint="eastAsia" w:ascii="仿宋_GB2312" w:eastAsia="仿宋_GB2312"/>
          <w:bCs/>
          <w:kern w:val="44"/>
          <w:sz w:val="32"/>
          <w:szCs w:val="32"/>
          <w:highlight w:val="none"/>
        </w:rPr>
        <w:t>%。主要原因</w:t>
      </w:r>
      <w:r>
        <w:rPr>
          <w:rFonts w:hint="eastAsia" w:ascii="仿宋_GB2312"/>
          <w:bCs/>
          <w:kern w:val="44"/>
          <w:sz w:val="32"/>
          <w:szCs w:val="32"/>
          <w:highlight w:val="none"/>
          <w:lang w:eastAsia="zh-CN"/>
        </w:rPr>
        <w:t>：</w:t>
      </w:r>
      <w:r>
        <w:rPr>
          <w:rFonts w:hint="eastAsia" w:ascii="仿宋_GB2312"/>
          <w:bCs/>
          <w:kern w:val="44"/>
          <w:sz w:val="32"/>
          <w:szCs w:val="32"/>
          <w:highlight w:val="none"/>
          <w:lang w:val="en-US" w:eastAsia="zh-CN"/>
        </w:rPr>
        <w:t>本年度项目增加</w:t>
      </w:r>
      <w:r>
        <w:rPr>
          <w:rFonts w:hint="eastAsia" w:ascii="仿宋_GB2312" w:eastAsia="仿宋_GB2312"/>
          <w:bCs/>
          <w:kern w:val="44"/>
          <w:sz w:val="32"/>
          <w:szCs w:val="32"/>
          <w:highlight w:val="none"/>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2、一般公共预算支出</w:t>
      </w:r>
      <w:r>
        <w:rPr>
          <w:rFonts w:hint="eastAsia" w:ascii="楷体" w:hAnsi="楷体" w:eastAsia="楷体" w:cs="楷体"/>
          <w:bCs/>
          <w:kern w:val="44"/>
          <w:sz w:val="32"/>
          <w:szCs w:val="32"/>
          <w:highlight w:val="none"/>
        </w:rPr>
        <w:t>结构情况。</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
          <w:bCs w:val="0"/>
          <w:kern w:val="44"/>
          <w:sz w:val="32"/>
          <w:szCs w:val="32"/>
          <w:highlight w:val="none"/>
          <w:lang w:val="en-US" w:eastAsia="zh-CN"/>
        </w:rPr>
      </w:pP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年度</w:t>
      </w:r>
      <w:r>
        <w:rPr>
          <w:rFonts w:hint="eastAsia"/>
          <w:lang w:val="en-US" w:eastAsia="zh-CN"/>
        </w:rPr>
        <w:t>一般公共预算</w:t>
      </w:r>
      <w:r>
        <w:rPr>
          <w:rFonts w:hint="eastAsia" w:ascii="仿宋_GB2312" w:eastAsia="仿宋_GB2312"/>
          <w:bCs/>
          <w:kern w:val="44"/>
          <w:sz w:val="32"/>
          <w:szCs w:val="32"/>
          <w:highlight w:val="none"/>
        </w:rPr>
        <w:t>支出</w:t>
      </w:r>
      <w:r>
        <w:rPr>
          <w:rFonts w:hint="eastAsia" w:ascii="仿宋_GB2312"/>
          <w:bCs/>
          <w:kern w:val="44"/>
          <w:sz w:val="32"/>
          <w:szCs w:val="32"/>
          <w:highlight w:val="none"/>
          <w:u w:val="single"/>
          <w:lang w:val="en-US" w:eastAsia="zh-CN"/>
        </w:rPr>
        <w:t>17384.09</w:t>
      </w:r>
      <w:r>
        <w:rPr>
          <w:rFonts w:hint="eastAsia" w:ascii="仿宋_GB2312" w:eastAsia="仿宋_GB2312"/>
          <w:bCs/>
          <w:kern w:val="44"/>
          <w:sz w:val="32"/>
          <w:szCs w:val="32"/>
          <w:highlight w:val="none"/>
        </w:rPr>
        <w:t>万元，主要用于以下方面：</w:t>
      </w:r>
      <w:r>
        <w:rPr>
          <w:rFonts w:hint="eastAsia" w:ascii="仿宋_GB2312" w:hAnsi="宋体"/>
          <w:bCs/>
          <w:sz w:val="32"/>
          <w:szCs w:val="32"/>
          <w:highlight w:val="none"/>
          <w:lang w:val="en-US" w:eastAsia="zh-CN"/>
        </w:rPr>
        <w:t>社会保障和就业支出</w:t>
      </w:r>
      <w:r>
        <w:rPr>
          <w:rFonts w:hint="eastAsia" w:ascii="仿宋_GB2312" w:hAnsi="宋体"/>
          <w:bCs/>
          <w:szCs w:val="32"/>
          <w:highlight w:val="none"/>
          <w:u w:val="single"/>
          <w:lang w:val="en-US" w:eastAsia="zh-CN"/>
        </w:rPr>
        <w:t xml:space="preserve"> 11.82</w:t>
      </w:r>
      <w:r>
        <w:rPr>
          <w:rFonts w:hint="eastAsia" w:ascii="仿宋_GB2312" w:hAnsi="宋体"/>
          <w:bCs/>
          <w:szCs w:val="32"/>
          <w:highlight w:val="none"/>
          <w:lang w:val="en-US" w:eastAsia="zh-CN"/>
        </w:rPr>
        <w:t>万元，占</w:t>
      </w:r>
      <w:r>
        <w:rPr>
          <w:rFonts w:hint="eastAsia" w:ascii="仿宋_GB2312" w:hAnsi="宋体"/>
          <w:bCs/>
          <w:szCs w:val="32"/>
          <w:highlight w:val="none"/>
          <w:u w:val="single"/>
          <w:lang w:val="en-US" w:eastAsia="zh-CN"/>
        </w:rPr>
        <w:t>0.05</w:t>
      </w:r>
      <w:r>
        <w:rPr>
          <w:rFonts w:hint="eastAsia" w:ascii="仿宋_GB2312" w:hAnsi="宋体"/>
          <w:bCs/>
          <w:szCs w:val="32"/>
          <w:highlight w:val="none"/>
          <w:lang w:val="en-US" w:eastAsia="zh-CN"/>
        </w:rPr>
        <w:t>%；</w:t>
      </w:r>
      <w:r>
        <w:rPr>
          <w:rFonts w:hint="eastAsia" w:ascii="仿宋_GB2312" w:hAnsi="宋体"/>
          <w:bCs/>
          <w:sz w:val="32"/>
          <w:szCs w:val="32"/>
          <w:highlight w:val="none"/>
          <w:lang w:val="en-US" w:eastAsia="zh-CN"/>
        </w:rPr>
        <w:t>卫生健康支出</w:t>
      </w:r>
      <w:r>
        <w:rPr>
          <w:rFonts w:hint="eastAsia" w:ascii="仿宋_GB2312" w:hAnsi="宋体"/>
          <w:bCs/>
          <w:szCs w:val="32"/>
          <w:highlight w:val="none"/>
          <w:u w:val="single"/>
          <w:lang w:val="en-US" w:eastAsia="zh-CN"/>
        </w:rPr>
        <w:t>17372.27</w:t>
      </w:r>
      <w:r>
        <w:rPr>
          <w:rFonts w:hint="eastAsia" w:ascii="仿宋_GB2312" w:hAnsi="宋体"/>
          <w:bCs/>
          <w:szCs w:val="32"/>
          <w:highlight w:val="none"/>
          <w:lang w:val="en-US" w:eastAsia="zh-CN"/>
        </w:rPr>
        <w:t>万元，占</w:t>
      </w:r>
      <w:r>
        <w:rPr>
          <w:rFonts w:hint="eastAsia" w:ascii="仿宋_GB2312" w:hAnsi="宋体"/>
          <w:bCs/>
          <w:szCs w:val="32"/>
          <w:highlight w:val="none"/>
          <w:u w:val="single"/>
          <w:lang w:val="en-US" w:eastAsia="zh-CN"/>
        </w:rPr>
        <w:t>99.95</w:t>
      </w:r>
      <w:r>
        <w:rPr>
          <w:rFonts w:hint="eastAsia" w:ascii="仿宋_GB2312" w:hAnsi="宋体"/>
          <w:bCs/>
          <w:szCs w:val="32"/>
          <w:highlight w:val="none"/>
          <w:lang w:val="en-US" w:eastAsia="zh-CN"/>
        </w:rPr>
        <w:t>%</w:t>
      </w:r>
      <w:r>
        <w:rPr>
          <w:rFonts w:hint="eastAsia" w:ascii="仿宋_GB2312" w:eastAsia="仿宋_GB2312"/>
          <w:bCs/>
          <w:kern w:val="44"/>
          <w:sz w:val="32"/>
          <w:szCs w:val="32"/>
          <w:highlight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rPr>
      </w:pPr>
      <w:r>
        <w:rPr>
          <w:rFonts w:hint="eastAsia"/>
          <w:lang w:val="en-US" w:eastAsia="zh-CN"/>
        </w:rPr>
        <w:t>3、一般公共预算支出</w:t>
      </w:r>
      <w:r>
        <w:rPr>
          <w:rFonts w:hint="eastAsia" w:ascii="楷体" w:hAnsi="楷体" w:eastAsia="楷体" w:cs="楷体"/>
          <w:bCs/>
          <w:kern w:val="44"/>
          <w:sz w:val="32"/>
          <w:szCs w:val="32"/>
          <w:highlight w:val="none"/>
        </w:rPr>
        <w:t>具体</w:t>
      </w:r>
      <w:r>
        <w:rPr>
          <w:rFonts w:hint="eastAsia" w:ascii="楷体" w:hAnsi="楷体" w:eastAsia="楷体" w:cs="楷体"/>
          <w:bCs/>
          <w:kern w:val="44"/>
          <w:sz w:val="32"/>
          <w:szCs w:val="32"/>
          <w:highlight w:val="none"/>
          <w:lang w:val="en-US" w:eastAsia="zh-CN"/>
        </w:rPr>
        <w:t>使用</w:t>
      </w:r>
      <w:r>
        <w:rPr>
          <w:rFonts w:hint="eastAsia" w:ascii="楷体" w:hAnsi="楷体" w:eastAsia="楷体" w:cs="楷体"/>
          <w:bCs/>
          <w:kern w:val="44"/>
          <w:sz w:val="32"/>
          <w:szCs w:val="32"/>
          <w:highlight w:val="none"/>
        </w:rPr>
        <w:t>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rPr>
      </w:pPr>
      <w:r>
        <w:rPr>
          <w:rFonts w:hint="eastAsia" w:ascii="楷体" w:hAnsi="楷体" w:eastAsia="楷体" w:cs="楷体"/>
          <w:bCs/>
          <w:kern w:val="44"/>
          <w:sz w:val="32"/>
          <w:szCs w:val="32"/>
          <w:highlight w:val="none"/>
          <w:lang w:eastAsia="zh-CN"/>
        </w:rPr>
        <w:t>（</w:t>
      </w:r>
      <w:r>
        <w:rPr>
          <w:rFonts w:hint="eastAsia" w:ascii="楷体" w:hAnsi="楷体" w:eastAsia="楷体" w:cs="楷体"/>
          <w:bCs/>
          <w:kern w:val="44"/>
          <w:sz w:val="32"/>
          <w:szCs w:val="32"/>
          <w:highlight w:val="none"/>
          <w:lang w:val="en-US" w:eastAsia="zh-CN"/>
        </w:rPr>
        <w:t>1）</w:t>
      </w:r>
      <w:r>
        <w:rPr>
          <w:rFonts w:hint="eastAsia" w:ascii="楷体" w:hAnsi="楷体" w:eastAsia="楷体" w:cs="楷体"/>
          <w:bCs/>
          <w:kern w:val="44"/>
          <w:sz w:val="32"/>
          <w:szCs w:val="32"/>
          <w:highlight w:val="none"/>
        </w:rPr>
        <w:t>社会保障和就业支出(类)</w:t>
      </w:r>
      <w:r>
        <w:rPr>
          <w:rFonts w:hint="eastAsia" w:ascii="仿宋_GB2312"/>
          <w:bCs/>
          <w:kern w:val="44"/>
          <w:sz w:val="32"/>
          <w:szCs w:val="32"/>
          <w:highlight w:val="none"/>
          <w:lang w:eastAsia="zh-CN"/>
        </w:rPr>
        <w:t>行政事业单位养老支出</w:t>
      </w:r>
      <w:r>
        <w:rPr>
          <w:rFonts w:hint="eastAsia" w:ascii="楷体" w:hAnsi="楷体" w:eastAsia="楷体" w:cs="楷体"/>
          <w:bCs/>
          <w:kern w:val="44"/>
          <w:sz w:val="32"/>
          <w:szCs w:val="32"/>
          <w:highlight w:val="none"/>
          <w:lang w:val="en-US" w:eastAsia="zh-CN"/>
        </w:rPr>
        <w:t>事务（款）事业单位离退休（项）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预算数为</w:t>
      </w:r>
      <w:r>
        <w:rPr>
          <w:rFonts w:hint="eastAsia" w:ascii="仿宋_GB2312"/>
          <w:bCs/>
          <w:kern w:val="44"/>
          <w:sz w:val="32"/>
          <w:szCs w:val="32"/>
          <w:highlight w:val="none"/>
          <w:u w:val="single"/>
          <w:lang w:val="en-US" w:eastAsia="zh-CN"/>
        </w:rPr>
        <w:t>11.82</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比上年预算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11.82</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%。主要原因是</w:t>
      </w:r>
      <w:r>
        <w:rPr>
          <w:rFonts w:hint="eastAsia" w:ascii="仿宋_GB2312"/>
          <w:bCs/>
          <w:kern w:val="44"/>
          <w:sz w:val="32"/>
          <w:szCs w:val="32"/>
          <w:highlight w:val="none"/>
          <w:lang w:eastAsia="zh-CN"/>
        </w:rPr>
        <w:t>本年增</w:t>
      </w:r>
      <w:r>
        <w:rPr>
          <w:rFonts w:hint="eastAsia" w:ascii="仿宋_GB2312" w:hAnsi="Times New Roman" w:cs="Times New Roman"/>
          <w:bCs/>
          <w:kern w:val="44"/>
          <w:sz w:val="32"/>
          <w:szCs w:val="32"/>
          <w:highlight w:val="none"/>
          <w:lang w:val="en-US" w:eastAsia="zh-CN"/>
        </w:rPr>
        <w:t>加黄石市中医医院离退休费</w:t>
      </w:r>
      <w:r>
        <w:rPr>
          <w:rFonts w:hint="eastAsia" w:ascii="黑体" w:hAnsi="黑体" w:eastAsia="黑体" w:cs="黑体"/>
          <w:b w:val="0"/>
          <w:bCs w:val="0"/>
          <w:sz w:val="32"/>
          <w:szCs w:val="32"/>
          <w:u w:val="none"/>
          <w:lang w:val="en-US"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楷体" w:hAnsi="楷体" w:eastAsia="楷体" w:cs="楷体"/>
          <w:bCs/>
          <w:kern w:val="44"/>
          <w:sz w:val="32"/>
          <w:szCs w:val="32"/>
          <w:highlight w:val="none"/>
          <w:lang w:eastAsia="zh-CN"/>
        </w:rPr>
        <w:t>（</w:t>
      </w:r>
      <w:r>
        <w:rPr>
          <w:rFonts w:hint="eastAsia" w:ascii="楷体" w:hAnsi="楷体" w:eastAsia="楷体" w:cs="楷体"/>
          <w:bCs/>
          <w:kern w:val="44"/>
          <w:sz w:val="32"/>
          <w:szCs w:val="32"/>
          <w:highlight w:val="none"/>
          <w:lang w:val="en-US" w:eastAsia="zh-CN"/>
        </w:rPr>
        <w:t>2）</w:t>
      </w:r>
      <w:r>
        <w:rPr>
          <w:rFonts w:hint="eastAsia" w:ascii="楷体" w:hAnsi="楷体" w:eastAsia="楷体" w:cs="楷体"/>
          <w:bCs/>
          <w:color w:val="000000"/>
          <w:kern w:val="44"/>
          <w:sz w:val="32"/>
          <w:szCs w:val="32"/>
          <w:highlight w:val="none"/>
          <w:lang w:val="en-US" w:eastAsia="zh-CN" w:bidi="ar-SA"/>
        </w:rPr>
        <w:t>卫生健康支出(类)卫生健康管理事务（款）行政运行（项）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预算数为</w:t>
      </w:r>
      <w:r>
        <w:rPr>
          <w:rFonts w:hint="eastAsia" w:ascii="仿宋_GB2312"/>
          <w:bCs/>
          <w:kern w:val="44"/>
          <w:sz w:val="32"/>
          <w:szCs w:val="32"/>
          <w:highlight w:val="none"/>
          <w:u w:val="single"/>
          <w:lang w:val="en-US" w:eastAsia="zh-CN"/>
        </w:rPr>
        <w:t>1264.22</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比上年预算</w:t>
      </w:r>
      <w:r>
        <w:rPr>
          <w:rFonts w:hint="eastAsia" w:ascii="仿宋_GB2312" w:eastAsia="仿宋_GB2312"/>
          <w:bCs/>
          <w:kern w:val="44"/>
          <w:sz w:val="32"/>
          <w:szCs w:val="32"/>
          <w:highlight w:val="none"/>
        </w:rPr>
        <w:t>减少</w:t>
      </w:r>
      <w:r>
        <w:rPr>
          <w:rFonts w:hint="eastAsia" w:ascii="仿宋_GB2312"/>
          <w:bCs/>
          <w:kern w:val="44"/>
          <w:sz w:val="32"/>
          <w:szCs w:val="32"/>
          <w:highlight w:val="none"/>
          <w:lang w:val="en-US" w:eastAsia="zh-CN"/>
        </w:rPr>
        <w:t>52.23</w:t>
      </w:r>
      <w:r>
        <w:rPr>
          <w:rFonts w:hint="eastAsia" w:ascii="仿宋_GB2312" w:eastAsia="仿宋_GB2312"/>
          <w:bCs/>
          <w:kern w:val="44"/>
          <w:sz w:val="32"/>
          <w:szCs w:val="32"/>
          <w:highlight w:val="none"/>
        </w:rPr>
        <w:t>万元，</w:t>
      </w:r>
      <w:r>
        <w:rPr>
          <w:rFonts w:hint="eastAsia" w:ascii="仿宋_GB2312" w:eastAsia="仿宋_GB2312"/>
          <w:bCs/>
          <w:kern w:val="44"/>
          <w:sz w:val="32"/>
          <w:szCs w:val="32"/>
          <w:highlight w:val="none"/>
          <w:lang w:eastAsia="zh-CN"/>
        </w:rPr>
        <w:t>下降</w:t>
      </w:r>
      <w:r>
        <w:rPr>
          <w:rFonts w:hint="eastAsia" w:ascii="仿宋_GB2312"/>
          <w:bCs/>
          <w:kern w:val="44"/>
          <w:sz w:val="32"/>
          <w:szCs w:val="32"/>
          <w:highlight w:val="none"/>
          <w:lang w:val="en-US" w:eastAsia="zh-CN"/>
        </w:rPr>
        <w:t>3.97</w:t>
      </w:r>
      <w:r>
        <w:rPr>
          <w:rFonts w:hint="eastAsia" w:ascii="仿宋_GB2312" w:eastAsia="仿宋_GB2312"/>
          <w:bCs/>
          <w:kern w:val="44"/>
          <w:sz w:val="32"/>
          <w:szCs w:val="32"/>
          <w:highlight w:val="none"/>
        </w:rPr>
        <w:t>%。主要原因是</w:t>
      </w:r>
      <w:r>
        <w:rPr>
          <w:rFonts w:hint="eastAsia"/>
          <w:lang w:val="en-US" w:eastAsia="zh-CN"/>
        </w:rPr>
        <w:t>人员减少</w:t>
      </w:r>
      <w:r>
        <w:rPr>
          <w:rFonts w:hint="eastAsia" w:ascii="仿宋_GB2312" w:eastAsia="仿宋_GB2312"/>
          <w:bCs/>
          <w:kern w:val="44"/>
          <w:sz w:val="32"/>
          <w:szCs w:val="32"/>
          <w:highlight w:val="none"/>
          <w:u w:val="none"/>
        </w:rPr>
        <w:t>。</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ascii="仿宋_GB2312" w:eastAsia="仿宋_GB2312"/>
          <w:bCs/>
          <w:kern w:val="44"/>
          <w:sz w:val="32"/>
          <w:szCs w:val="32"/>
          <w:highlight w:val="none"/>
          <w:u w:val="none"/>
        </w:rPr>
      </w:pPr>
      <w:r>
        <w:rPr>
          <w:rFonts w:hint="eastAsia" w:ascii="楷体" w:hAnsi="楷体" w:eastAsia="楷体" w:cs="楷体"/>
          <w:bCs/>
          <w:kern w:val="44"/>
          <w:sz w:val="32"/>
          <w:szCs w:val="32"/>
          <w:highlight w:val="none"/>
          <w:u w:val="none"/>
          <w:lang w:eastAsia="zh-CN"/>
        </w:rPr>
        <w:t>（</w:t>
      </w:r>
      <w:r>
        <w:rPr>
          <w:rFonts w:hint="eastAsia" w:ascii="楷体" w:hAnsi="楷体" w:eastAsia="楷体" w:cs="楷体"/>
          <w:bCs/>
          <w:kern w:val="44"/>
          <w:sz w:val="32"/>
          <w:szCs w:val="32"/>
          <w:highlight w:val="none"/>
          <w:u w:val="none"/>
          <w:lang w:val="en-US" w:eastAsia="zh-CN"/>
        </w:rPr>
        <w:t>3）</w:t>
      </w:r>
      <w:r>
        <w:rPr>
          <w:rFonts w:hint="eastAsia" w:ascii="楷体" w:hAnsi="楷体" w:eastAsia="楷体" w:cs="楷体"/>
          <w:bCs/>
          <w:color w:val="000000"/>
          <w:kern w:val="44"/>
          <w:sz w:val="32"/>
          <w:szCs w:val="32"/>
          <w:highlight w:val="none"/>
          <w:lang w:val="en-US" w:eastAsia="zh-CN" w:bidi="ar-SA"/>
        </w:rPr>
        <w:t>卫生健康支出(类)卫生健康管理事务（款）其他卫生健康管理事务支出（项）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预算数为</w:t>
      </w:r>
      <w:r>
        <w:rPr>
          <w:rFonts w:hint="eastAsia"/>
          <w:bCs/>
          <w:kern w:val="44"/>
          <w:sz w:val="32"/>
          <w:szCs w:val="32"/>
          <w:highlight w:val="none"/>
          <w:u w:val="single"/>
          <w:lang w:val="en-US" w:eastAsia="zh-CN"/>
        </w:rPr>
        <w:t>7919.80</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w:t>
      </w:r>
      <w:r>
        <w:rPr>
          <w:rFonts w:hint="eastAsia"/>
          <w:bCs/>
          <w:kern w:val="44"/>
          <w:sz w:val="32"/>
          <w:szCs w:val="32"/>
          <w:highlight w:val="none"/>
          <w:lang w:val="en-US" w:eastAsia="zh-CN"/>
        </w:rPr>
        <w:t>年预算</w:t>
      </w:r>
      <w:r>
        <w:rPr>
          <w:rFonts w:hint="eastAsia" w:ascii="仿宋_GB2312" w:eastAsia="仿宋_GB2312"/>
          <w:bCs/>
          <w:kern w:val="44"/>
          <w:sz w:val="32"/>
          <w:szCs w:val="32"/>
          <w:highlight w:val="none"/>
        </w:rPr>
        <w:t>增加</w:t>
      </w:r>
      <w:r>
        <w:rPr>
          <w:rFonts w:hint="eastAsia"/>
          <w:bCs/>
          <w:kern w:val="44"/>
          <w:sz w:val="32"/>
          <w:szCs w:val="32"/>
          <w:highlight w:val="none"/>
          <w:lang w:val="en-US" w:eastAsia="zh-CN"/>
        </w:rPr>
        <w:t>3269.31</w:t>
      </w:r>
      <w:r>
        <w:rPr>
          <w:rFonts w:hint="eastAsia" w:ascii="仿宋_GB2312" w:eastAsia="仿宋_GB2312"/>
          <w:bCs/>
          <w:kern w:val="44"/>
          <w:sz w:val="32"/>
          <w:szCs w:val="32"/>
          <w:highlight w:val="none"/>
        </w:rPr>
        <w:t>万元，增长</w:t>
      </w:r>
      <w:r>
        <w:rPr>
          <w:rFonts w:hint="eastAsia"/>
          <w:bCs/>
          <w:kern w:val="44"/>
          <w:sz w:val="32"/>
          <w:szCs w:val="32"/>
          <w:highlight w:val="none"/>
          <w:lang w:val="en-US" w:eastAsia="zh-CN"/>
        </w:rPr>
        <w:t>70.3</w:t>
      </w:r>
      <w:r>
        <w:rPr>
          <w:rFonts w:hint="eastAsia" w:ascii="仿宋_GB2312" w:eastAsia="仿宋_GB2312"/>
          <w:bCs/>
          <w:kern w:val="44"/>
          <w:sz w:val="32"/>
          <w:szCs w:val="32"/>
          <w:highlight w:val="none"/>
        </w:rPr>
        <w:t>%。主要原因是</w:t>
      </w:r>
      <w:r>
        <w:rPr>
          <w:rFonts w:hint="eastAsia" w:ascii="仿宋_GB2312"/>
          <w:bCs/>
          <w:kern w:val="44"/>
          <w:sz w:val="32"/>
          <w:szCs w:val="32"/>
          <w:highlight w:val="none"/>
          <w:lang w:val="en-US" w:eastAsia="zh-CN"/>
        </w:rPr>
        <w:t>本年新增公立医院改革补助经费3200万元、重点专科建设发展经费300万元，减少免费无创产前基因检测经费和生育托育奖励经费448万元等</w:t>
      </w:r>
      <w:r>
        <w:rPr>
          <w:rFonts w:hint="eastAsia" w:ascii="仿宋_GB2312" w:eastAsia="仿宋_GB2312"/>
          <w:bCs/>
          <w:kern w:val="44"/>
          <w:sz w:val="32"/>
          <w:szCs w:val="32"/>
          <w:highlight w:val="none"/>
        </w:rPr>
        <w:t>。</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ascii="仿宋_GB2312" w:eastAsia="仿宋_GB2312"/>
          <w:bCs/>
          <w:kern w:val="44"/>
          <w:sz w:val="32"/>
          <w:szCs w:val="32"/>
          <w:highlight w:val="none"/>
          <w:u w:val="none"/>
          <w:lang w:val="en-US" w:eastAsia="zh-CN"/>
        </w:rPr>
      </w:pPr>
      <w:r>
        <w:rPr>
          <w:rFonts w:hint="eastAsia"/>
          <w:bCs/>
          <w:kern w:val="44"/>
          <w:sz w:val="32"/>
          <w:szCs w:val="32"/>
          <w:highlight w:val="none"/>
          <w:u w:val="none"/>
          <w:lang w:eastAsia="zh-CN"/>
        </w:rPr>
        <w:t>（</w:t>
      </w:r>
      <w:r>
        <w:rPr>
          <w:rFonts w:hint="eastAsia"/>
          <w:bCs/>
          <w:kern w:val="44"/>
          <w:sz w:val="32"/>
          <w:szCs w:val="32"/>
          <w:highlight w:val="none"/>
          <w:u w:val="none"/>
          <w:lang w:val="en-US" w:eastAsia="zh-CN"/>
        </w:rPr>
        <w:t>4）</w:t>
      </w:r>
      <w:r>
        <w:rPr>
          <w:rFonts w:hint="eastAsia" w:ascii="楷体" w:hAnsi="楷体" w:eastAsia="楷体" w:cs="楷体"/>
          <w:bCs/>
          <w:kern w:val="44"/>
          <w:sz w:val="32"/>
          <w:szCs w:val="32"/>
          <w:highlight w:val="none"/>
          <w:u w:val="none"/>
          <w:lang w:val="en-US" w:eastAsia="zh-CN"/>
        </w:rPr>
        <w:t>卫生健康支出</w:t>
      </w:r>
      <w:r>
        <w:rPr>
          <w:rFonts w:hint="eastAsia" w:ascii="楷体" w:hAnsi="楷体" w:eastAsia="楷体" w:cs="楷体"/>
          <w:bCs/>
          <w:kern w:val="44"/>
          <w:sz w:val="32"/>
          <w:szCs w:val="32"/>
          <w:highlight w:val="none"/>
          <w:u w:val="none"/>
        </w:rPr>
        <w:t>(类)</w:t>
      </w:r>
      <w:r>
        <w:rPr>
          <w:rFonts w:hint="eastAsia" w:ascii="仿宋_GB2312"/>
          <w:bCs/>
          <w:kern w:val="44"/>
          <w:sz w:val="32"/>
          <w:szCs w:val="32"/>
          <w:highlight w:val="none"/>
          <w:u w:val="none"/>
          <w:lang w:val="en-US" w:eastAsia="zh-CN"/>
        </w:rPr>
        <w:t>公立医院</w:t>
      </w:r>
      <w:r>
        <w:rPr>
          <w:rFonts w:hint="eastAsia" w:ascii="楷体" w:hAnsi="楷体" w:eastAsia="楷体" w:cs="楷体"/>
          <w:bCs/>
          <w:kern w:val="44"/>
          <w:sz w:val="32"/>
          <w:szCs w:val="32"/>
          <w:highlight w:val="none"/>
          <w:u w:val="none"/>
          <w:lang w:val="en-US" w:eastAsia="zh-CN"/>
        </w:rPr>
        <w:t>（款）综合医院（项）</w:t>
      </w:r>
      <w:r>
        <w:rPr>
          <w:rFonts w:hint="eastAsia" w:ascii="仿宋_GB2312"/>
          <w:bCs/>
          <w:kern w:val="44"/>
          <w:sz w:val="32"/>
          <w:szCs w:val="32"/>
          <w:highlight w:val="none"/>
          <w:u w:val="none"/>
          <w:lang w:eastAsia="zh-CN"/>
        </w:rPr>
        <w:t>20</w:t>
      </w:r>
      <w:r>
        <w:rPr>
          <w:rFonts w:hint="eastAsia" w:ascii="仿宋_GB2312"/>
          <w:bCs/>
          <w:kern w:val="44"/>
          <w:sz w:val="32"/>
          <w:szCs w:val="32"/>
          <w:highlight w:val="none"/>
          <w:u w:val="none"/>
          <w:lang w:val="en-US" w:eastAsia="zh-CN"/>
        </w:rPr>
        <w:t>2</w:t>
      </w:r>
      <w:r>
        <w:rPr>
          <w:rFonts w:hint="eastAsia"/>
          <w:bCs/>
          <w:kern w:val="44"/>
          <w:sz w:val="32"/>
          <w:szCs w:val="32"/>
          <w:highlight w:val="none"/>
          <w:u w:val="none"/>
          <w:lang w:val="en-US" w:eastAsia="zh-CN"/>
        </w:rPr>
        <w:t>4</w:t>
      </w:r>
      <w:r>
        <w:rPr>
          <w:rFonts w:hint="eastAsia" w:ascii="仿宋_GB2312" w:eastAsia="仿宋_GB2312"/>
          <w:bCs/>
          <w:kern w:val="44"/>
          <w:sz w:val="32"/>
          <w:szCs w:val="32"/>
          <w:highlight w:val="none"/>
          <w:u w:val="none"/>
        </w:rPr>
        <w:t>年</w:t>
      </w:r>
      <w:r>
        <w:rPr>
          <w:rFonts w:hint="eastAsia" w:ascii="仿宋_GB2312"/>
          <w:bCs/>
          <w:kern w:val="44"/>
          <w:sz w:val="32"/>
          <w:szCs w:val="32"/>
          <w:highlight w:val="none"/>
          <w:u w:val="none"/>
          <w:lang w:val="en-US" w:eastAsia="zh-CN"/>
        </w:rPr>
        <w:t>预算数为</w:t>
      </w:r>
      <w:r>
        <w:rPr>
          <w:rFonts w:hint="eastAsia"/>
          <w:bCs/>
          <w:kern w:val="44"/>
          <w:sz w:val="32"/>
          <w:szCs w:val="32"/>
          <w:highlight w:val="none"/>
          <w:u w:val="none"/>
          <w:lang w:val="en-US" w:eastAsia="zh-CN"/>
        </w:rPr>
        <w:t>41.81</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比上年预算</w:t>
      </w:r>
      <w:r>
        <w:rPr>
          <w:rFonts w:hint="eastAsia"/>
          <w:bCs/>
          <w:kern w:val="44"/>
          <w:sz w:val="32"/>
          <w:szCs w:val="32"/>
          <w:highlight w:val="none"/>
          <w:u w:val="none"/>
          <w:lang w:val="en-US" w:eastAsia="zh-CN"/>
        </w:rPr>
        <w:t>增加0.12</w:t>
      </w:r>
      <w:r>
        <w:rPr>
          <w:rFonts w:hint="eastAsia" w:ascii="仿宋_GB2312" w:eastAsia="仿宋_GB2312"/>
          <w:bCs/>
          <w:kern w:val="44"/>
          <w:sz w:val="32"/>
          <w:szCs w:val="32"/>
          <w:highlight w:val="none"/>
          <w:u w:val="none"/>
        </w:rPr>
        <w:t>万元，</w:t>
      </w:r>
      <w:r>
        <w:rPr>
          <w:rFonts w:hint="eastAsia"/>
          <w:bCs/>
          <w:kern w:val="44"/>
          <w:sz w:val="32"/>
          <w:szCs w:val="32"/>
          <w:highlight w:val="none"/>
          <w:u w:val="none"/>
          <w:lang w:val="en-US" w:eastAsia="zh-CN"/>
        </w:rPr>
        <w:t>增长0.29</w:t>
      </w:r>
      <w:r>
        <w:rPr>
          <w:rFonts w:hint="eastAsia" w:ascii="仿宋_GB2312" w:eastAsia="仿宋_GB2312"/>
          <w:bCs/>
          <w:kern w:val="44"/>
          <w:sz w:val="32"/>
          <w:szCs w:val="32"/>
          <w:highlight w:val="none"/>
          <w:u w:val="none"/>
        </w:rPr>
        <w:t>%。主要原因是</w:t>
      </w:r>
      <w:r>
        <w:rPr>
          <w:rFonts w:hint="eastAsia"/>
          <w:bCs/>
          <w:kern w:val="44"/>
          <w:sz w:val="32"/>
          <w:szCs w:val="32"/>
          <w:highlight w:val="none"/>
          <w:u w:val="none"/>
          <w:lang w:eastAsia="zh-CN"/>
        </w:rPr>
        <w:t>市中心医院支出增加</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楷体" w:hAnsi="楷体" w:eastAsia="楷体" w:cs="楷体"/>
          <w:bCs/>
          <w:kern w:val="44"/>
          <w:sz w:val="32"/>
          <w:szCs w:val="32"/>
          <w:highlight w:val="none"/>
          <w:u w:val="none"/>
          <w:lang w:eastAsia="zh-CN"/>
        </w:rPr>
        <w:t>（</w:t>
      </w:r>
      <w:r>
        <w:rPr>
          <w:rFonts w:hint="eastAsia" w:ascii="楷体" w:hAnsi="楷体" w:eastAsia="楷体" w:cs="楷体"/>
          <w:bCs/>
          <w:kern w:val="44"/>
          <w:sz w:val="32"/>
          <w:szCs w:val="32"/>
          <w:highlight w:val="none"/>
          <w:u w:val="none"/>
          <w:lang w:val="en-US" w:eastAsia="zh-CN"/>
        </w:rPr>
        <w:t>5）卫生健康支出</w:t>
      </w:r>
      <w:r>
        <w:rPr>
          <w:rFonts w:hint="eastAsia" w:ascii="楷体" w:hAnsi="楷体" w:eastAsia="楷体" w:cs="楷体"/>
          <w:bCs/>
          <w:kern w:val="44"/>
          <w:sz w:val="32"/>
          <w:szCs w:val="32"/>
          <w:highlight w:val="none"/>
          <w:u w:val="none"/>
        </w:rPr>
        <w:t>(类)</w:t>
      </w:r>
      <w:r>
        <w:rPr>
          <w:rFonts w:hint="eastAsia" w:ascii="仿宋_GB2312"/>
          <w:bCs/>
          <w:kern w:val="44"/>
          <w:sz w:val="32"/>
          <w:szCs w:val="32"/>
          <w:highlight w:val="none"/>
          <w:u w:val="none"/>
          <w:lang w:val="en-US" w:eastAsia="zh-CN"/>
        </w:rPr>
        <w:t>公立医院</w:t>
      </w:r>
      <w:r>
        <w:rPr>
          <w:rFonts w:hint="eastAsia" w:ascii="楷体" w:hAnsi="楷体" w:eastAsia="楷体" w:cs="楷体"/>
          <w:bCs/>
          <w:kern w:val="44"/>
          <w:sz w:val="32"/>
          <w:szCs w:val="32"/>
          <w:highlight w:val="none"/>
          <w:u w:val="none"/>
          <w:lang w:val="en-US" w:eastAsia="zh-CN"/>
        </w:rPr>
        <w:t>（款）传染病医院（项）</w:t>
      </w:r>
      <w:r>
        <w:rPr>
          <w:rFonts w:hint="eastAsia" w:ascii="仿宋_GB2312"/>
          <w:bCs/>
          <w:kern w:val="44"/>
          <w:sz w:val="32"/>
          <w:szCs w:val="32"/>
          <w:highlight w:val="none"/>
          <w:u w:val="none"/>
          <w:lang w:eastAsia="zh-CN"/>
        </w:rPr>
        <w:t>20</w:t>
      </w:r>
      <w:r>
        <w:rPr>
          <w:rFonts w:hint="eastAsia" w:ascii="仿宋_GB2312"/>
          <w:bCs/>
          <w:kern w:val="44"/>
          <w:sz w:val="32"/>
          <w:szCs w:val="32"/>
          <w:highlight w:val="none"/>
          <w:u w:val="none"/>
          <w:lang w:val="en-US" w:eastAsia="zh-CN"/>
        </w:rPr>
        <w:t>24</w:t>
      </w:r>
      <w:r>
        <w:rPr>
          <w:rFonts w:hint="eastAsia" w:ascii="仿宋_GB2312" w:eastAsia="仿宋_GB2312"/>
          <w:bCs/>
          <w:kern w:val="44"/>
          <w:sz w:val="32"/>
          <w:szCs w:val="32"/>
          <w:highlight w:val="none"/>
          <w:u w:val="none"/>
        </w:rPr>
        <w:t>年</w:t>
      </w:r>
      <w:r>
        <w:rPr>
          <w:rFonts w:hint="eastAsia" w:ascii="仿宋_GB2312"/>
          <w:bCs/>
          <w:kern w:val="44"/>
          <w:sz w:val="32"/>
          <w:szCs w:val="32"/>
          <w:highlight w:val="none"/>
          <w:u w:val="none"/>
          <w:lang w:val="en-US" w:eastAsia="zh-CN"/>
        </w:rPr>
        <w:t>预算数为1282.71</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比上年预算增加692.69</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增长117.4</w:t>
      </w:r>
      <w:r>
        <w:rPr>
          <w:rFonts w:hint="eastAsia" w:ascii="仿宋_GB2312" w:eastAsia="仿宋_GB2312"/>
          <w:bCs/>
          <w:kern w:val="44"/>
          <w:sz w:val="32"/>
          <w:szCs w:val="32"/>
          <w:highlight w:val="none"/>
          <w:u w:val="none"/>
        </w:rPr>
        <w:t>%。主要原因是</w:t>
      </w:r>
      <w:r>
        <w:rPr>
          <w:rFonts w:hint="eastAsia" w:ascii="仿宋_GB2312"/>
          <w:bCs/>
          <w:kern w:val="44"/>
          <w:sz w:val="32"/>
          <w:szCs w:val="32"/>
          <w:highlight w:val="none"/>
          <w:u w:val="none"/>
          <w:lang w:eastAsia="zh-CN"/>
        </w:rPr>
        <w:t>市公卫中心</w:t>
      </w:r>
      <w:r>
        <w:rPr>
          <w:rFonts w:hint="eastAsia" w:ascii="仿宋" w:hAnsi="仿宋" w:eastAsia="仿宋" w:cs="仿宋"/>
          <w:bCs/>
          <w:kern w:val="44"/>
          <w:sz w:val="32"/>
          <w:szCs w:val="32"/>
          <w:highlight w:val="none"/>
          <w:lang w:val="en-US" w:eastAsia="zh-CN"/>
        </w:rPr>
        <w:t>合并新立，职工人数增加</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lang w:val="en-US" w:eastAsia="zh-CN"/>
        </w:rPr>
      </w:pPr>
      <w:r>
        <w:rPr>
          <w:rFonts w:hint="eastAsia" w:ascii="仿宋_GB2312"/>
          <w:bCs/>
          <w:kern w:val="44"/>
          <w:sz w:val="32"/>
          <w:szCs w:val="32"/>
          <w:highlight w:val="none"/>
          <w:u w:val="none"/>
          <w:lang w:eastAsia="zh-CN"/>
        </w:rPr>
        <w:t>（</w:t>
      </w:r>
      <w:r>
        <w:rPr>
          <w:rFonts w:hint="eastAsia" w:ascii="仿宋_GB2312"/>
          <w:bCs/>
          <w:kern w:val="44"/>
          <w:sz w:val="32"/>
          <w:szCs w:val="32"/>
          <w:highlight w:val="none"/>
          <w:u w:val="none"/>
          <w:lang w:val="en-US" w:eastAsia="zh-CN"/>
        </w:rPr>
        <w:t>6）</w:t>
      </w:r>
      <w:r>
        <w:rPr>
          <w:rFonts w:hint="eastAsia" w:ascii="楷体" w:hAnsi="楷体" w:eastAsia="楷体" w:cs="楷体"/>
          <w:bCs/>
          <w:kern w:val="44"/>
          <w:sz w:val="32"/>
          <w:szCs w:val="32"/>
          <w:highlight w:val="none"/>
          <w:u w:val="none"/>
          <w:lang w:val="en-US" w:eastAsia="zh-CN"/>
        </w:rPr>
        <w:t>卫生健康支出</w:t>
      </w:r>
      <w:r>
        <w:rPr>
          <w:rFonts w:hint="eastAsia" w:ascii="楷体" w:hAnsi="楷体" w:eastAsia="楷体" w:cs="楷体"/>
          <w:bCs/>
          <w:kern w:val="44"/>
          <w:sz w:val="32"/>
          <w:szCs w:val="32"/>
          <w:highlight w:val="none"/>
          <w:u w:val="none"/>
        </w:rPr>
        <w:t>(类)</w:t>
      </w:r>
      <w:r>
        <w:rPr>
          <w:rFonts w:hint="eastAsia" w:ascii="楷体" w:hAnsi="楷体" w:eastAsia="楷体" w:cs="楷体"/>
          <w:bCs/>
          <w:kern w:val="44"/>
          <w:sz w:val="32"/>
          <w:szCs w:val="32"/>
          <w:highlight w:val="none"/>
          <w:u w:val="none"/>
          <w:lang w:val="en-US" w:eastAsia="zh-CN"/>
        </w:rPr>
        <w:t>公立医院（款）妇幼保健医院（项）</w:t>
      </w:r>
      <w:r>
        <w:rPr>
          <w:rFonts w:hint="eastAsia" w:ascii="仿宋_GB2312"/>
          <w:bCs/>
          <w:kern w:val="44"/>
          <w:sz w:val="32"/>
          <w:szCs w:val="32"/>
          <w:highlight w:val="none"/>
          <w:u w:val="none"/>
          <w:lang w:eastAsia="zh-CN"/>
        </w:rPr>
        <w:t>20</w:t>
      </w:r>
      <w:r>
        <w:rPr>
          <w:rFonts w:hint="eastAsia" w:ascii="仿宋_GB2312"/>
          <w:bCs/>
          <w:kern w:val="44"/>
          <w:sz w:val="32"/>
          <w:szCs w:val="32"/>
          <w:highlight w:val="none"/>
          <w:u w:val="none"/>
          <w:lang w:val="en-US" w:eastAsia="zh-CN"/>
        </w:rPr>
        <w:t>24</w:t>
      </w:r>
      <w:r>
        <w:rPr>
          <w:rFonts w:hint="eastAsia" w:ascii="仿宋_GB2312" w:eastAsia="仿宋_GB2312"/>
          <w:bCs/>
          <w:kern w:val="44"/>
          <w:sz w:val="32"/>
          <w:szCs w:val="32"/>
          <w:highlight w:val="none"/>
          <w:u w:val="none"/>
        </w:rPr>
        <w:t>年</w:t>
      </w:r>
      <w:r>
        <w:rPr>
          <w:rFonts w:hint="eastAsia" w:ascii="仿宋_GB2312"/>
          <w:bCs/>
          <w:kern w:val="44"/>
          <w:sz w:val="32"/>
          <w:szCs w:val="32"/>
          <w:highlight w:val="none"/>
          <w:u w:val="none"/>
          <w:lang w:val="en-US" w:eastAsia="zh-CN"/>
        </w:rPr>
        <w:t>预算数为1000</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比上年预算增加0</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增长0</w:t>
      </w:r>
      <w:r>
        <w:rPr>
          <w:rFonts w:hint="eastAsia" w:ascii="仿宋_GB2312" w:eastAsia="仿宋_GB2312"/>
          <w:bCs/>
          <w:kern w:val="44"/>
          <w:sz w:val="32"/>
          <w:szCs w:val="32"/>
          <w:highlight w:val="none"/>
          <w:u w:val="none"/>
        </w:rPr>
        <w:t>%。</w:t>
      </w:r>
      <w:r>
        <w:rPr>
          <w:rFonts w:hint="eastAsia" w:ascii="仿宋" w:hAnsi="仿宋" w:eastAsia="仿宋"/>
          <w:sz w:val="32"/>
          <w:szCs w:val="32"/>
          <w:u w:val="none"/>
          <w:lang w:val="en-US" w:eastAsia="zh-CN"/>
        </w:rPr>
        <w:t>与上年对比无增减变化，与上年预算持平。</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bCs/>
          <w:kern w:val="44"/>
          <w:sz w:val="32"/>
          <w:szCs w:val="32"/>
          <w:highlight w:val="none"/>
          <w:lang w:val="en-US" w:eastAsia="zh-CN"/>
        </w:rPr>
      </w:pPr>
      <w:r>
        <w:rPr>
          <w:rFonts w:hint="eastAsia"/>
          <w:bCs/>
          <w:kern w:val="44"/>
          <w:sz w:val="32"/>
          <w:szCs w:val="32"/>
          <w:highlight w:val="none"/>
          <w:u w:val="none"/>
          <w:lang w:eastAsia="zh-CN"/>
        </w:rPr>
        <w:t>（</w:t>
      </w:r>
      <w:r>
        <w:rPr>
          <w:rFonts w:hint="eastAsia"/>
          <w:bCs/>
          <w:kern w:val="44"/>
          <w:sz w:val="32"/>
          <w:szCs w:val="32"/>
          <w:highlight w:val="none"/>
          <w:u w:val="none"/>
          <w:lang w:val="en-US" w:eastAsia="zh-CN"/>
        </w:rPr>
        <w:t>7</w:t>
      </w:r>
      <w:r>
        <w:rPr>
          <w:rFonts w:hint="eastAsia"/>
          <w:bCs/>
          <w:kern w:val="44"/>
          <w:sz w:val="32"/>
          <w:szCs w:val="32"/>
          <w:highlight w:val="none"/>
          <w:u w:val="none"/>
          <w:lang w:eastAsia="zh-CN"/>
        </w:rPr>
        <w:t>）</w:t>
      </w:r>
      <w:r>
        <w:rPr>
          <w:rFonts w:hint="eastAsia" w:ascii="楷体" w:hAnsi="楷体" w:eastAsia="楷体" w:cs="楷体"/>
          <w:bCs/>
          <w:kern w:val="44"/>
          <w:sz w:val="32"/>
          <w:szCs w:val="32"/>
          <w:highlight w:val="none"/>
          <w:lang w:eastAsia="zh-CN"/>
        </w:rPr>
        <w:t>卫生健康支出</w:t>
      </w:r>
      <w:r>
        <w:rPr>
          <w:rFonts w:hint="eastAsia" w:ascii="楷体" w:hAnsi="楷体" w:eastAsia="楷体" w:cs="楷体"/>
          <w:bCs/>
          <w:kern w:val="44"/>
          <w:sz w:val="32"/>
          <w:szCs w:val="32"/>
          <w:highlight w:val="none"/>
        </w:rPr>
        <w:t>(类)</w:t>
      </w:r>
      <w:r>
        <w:rPr>
          <w:rFonts w:hint="eastAsia" w:ascii="楷体" w:hAnsi="楷体" w:eastAsia="楷体" w:cs="楷体"/>
          <w:bCs/>
          <w:kern w:val="44"/>
          <w:sz w:val="32"/>
          <w:szCs w:val="32"/>
          <w:highlight w:val="none"/>
          <w:lang w:eastAsia="zh-CN"/>
        </w:rPr>
        <w:t>公共卫生</w:t>
      </w:r>
      <w:r>
        <w:rPr>
          <w:rFonts w:hint="eastAsia" w:ascii="楷体" w:hAnsi="楷体" w:eastAsia="楷体" w:cs="楷体"/>
          <w:bCs/>
          <w:kern w:val="44"/>
          <w:sz w:val="32"/>
          <w:szCs w:val="32"/>
          <w:highlight w:val="none"/>
          <w:lang w:val="en-US" w:eastAsia="zh-CN"/>
        </w:rPr>
        <w:t>（款）疾病预防控制机构（项）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预算数为</w:t>
      </w:r>
      <w:r>
        <w:rPr>
          <w:rFonts w:hint="eastAsia"/>
          <w:bCs/>
          <w:kern w:val="44"/>
          <w:sz w:val="32"/>
          <w:szCs w:val="32"/>
          <w:highlight w:val="none"/>
          <w:lang w:val="en-US" w:eastAsia="zh-CN"/>
        </w:rPr>
        <w:t>3367.07</w:t>
      </w:r>
      <w:r>
        <w:rPr>
          <w:rFonts w:hint="eastAsia" w:ascii="仿宋_GB2312"/>
          <w:bCs/>
          <w:kern w:val="44"/>
          <w:sz w:val="32"/>
          <w:szCs w:val="32"/>
          <w:highlight w:val="none"/>
          <w:lang w:val="en-US" w:eastAsia="zh-CN"/>
        </w:rPr>
        <w:t>万元，比上年预算</w:t>
      </w:r>
      <w:r>
        <w:rPr>
          <w:rFonts w:hint="eastAsia"/>
          <w:bCs/>
          <w:kern w:val="44"/>
          <w:sz w:val="32"/>
          <w:szCs w:val="32"/>
          <w:highlight w:val="none"/>
          <w:lang w:val="en-US" w:eastAsia="zh-CN"/>
        </w:rPr>
        <w:t>增加765.53</w:t>
      </w:r>
      <w:r>
        <w:rPr>
          <w:rFonts w:hint="eastAsia" w:ascii="仿宋_GB2312"/>
          <w:bCs/>
          <w:kern w:val="44"/>
          <w:sz w:val="32"/>
          <w:szCs w:val="32"/>
          <w:highlight w:val="none"/>
          <w:lang w:val="en-US" w:eastAsia="zh-CN"/>
        </w:rPr>
        <w:t>万元，</w:t>
      </w:r>
      <w:r>
        <w:rPr>
          <w:rFonts w:hint="eastAsia"/>
          <w:bCs/>
          <w:kern w:val="44"/>
          <w:sz w:val="32"/>
          <w:szCs w:val="32"/>
          <w:highlight w:val="none"/>
          <w:lang w:val="en-US" w:eastAsia="zh-CN"/>
        </w:rPr>
        <w:t>增长29.43</w:t>
      </w:r>
      <w:r>
        <w:rPr>
          <w:rFonts w:hint="eastAsia" w:ascii="仿宋_GB2312"/>
          <w:bCs/>
          <w:kern w:val="44"/>
          <w:sz w:val="32"/>
          <w:szCs w:val="32"/>
          <w:highlight w:val="none"/>
          <w:lang w:val="en-US" w:eastAsia="zh-CN"/>
        </w:rPr>
        <w:t>%。主要原因是</w:t>
      </w:r>
      <w:r>
        <w:rPr>
          <w:rFonts w:hint="eastAsia"/>
          <w:bCs/>
          <w:kern w:val="44"/>
          <w:sz w:val="32"/>
          <w:szCs w:val="32"/>
          <w:highlight w:val="none"/>
          <w:lang w:val="en-US" w:eastAsia="zh-CN"/>
        </w:rPr>
        <w:t>市疾控</w:t>
      </w:r>
      <w:r>
        <w:rPr>
          <w:rFonts w:hint="eastAsia" w:ascii="仿宋_GB2312" w:hAnsi="Times New Roman"/>
          <w:bCs/>
          <w:kern w:val="44"/>
          <w:sz w:val="32"/>
          <w:szCs w:val="32"/>
          <w:highlight w:val="none"/>
          <w:lang w:val="en-US" w:eastAsia="zh-CN"/>
        </w:rPr>
        <w:t>中心增加单列绩效奖459万元、增加职业年金缴费135.96万元等，因增加单列绩效奖导致相关社保缴费增加。</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ascii="仿宋" w:hAnsi="仿宋" w:eastAsia="仿宋"/>
          <w:sz w:val="32"/>
          <w:szCs w:val="32"/>
          <w:lang w:val="en-US" w:eastAsia="zh-CN"/>
        </w:rPr>
      </w:pPr>
      <w:r>
        <w:rPr>
          <w:rFonts w:hint="eastAsia"/>
          <w:bCs/>
          <w:kern w:val="44"/>
          <w:sz w:val="32"/>
          <w:szCs w:val="32"/>
          <w:highlight w:val="none"/>
          <w:lang w:val="en-US" w:eastAsia="zh-CN"/>
        </w:rPr>
        <w:t>（8）</w:t>
      </w:r>
      <w:r>
        <w:rPr>
          <w:rFonts w:hint="eastAsia" w:ascii="楷体" w:hAnsi="楷体" w:eastAsia="楷体" w:cs="楷体"/>
          <w:bCs/>
          <w:kern w:val="44"/>
          <w:sz w:val="32"/>
          <w:szCs w:val="32"/>
          <w:highlight w:val="none"/>
          <w:lang w:eastAsia="zh-CN"/>
        </w:rPr>
        <w:t>卫生健康支出</w:t>
      </w:r>
      <w:r>
        <w:rPr>
          <w:rFonts w:hint="eastAsia" w:ascii="楷体" w:hAnsi="楷体" w:eastAsia="楷体" w:cs="楷体"/>
          <w:bCs/>
          <w:kern w:val="44"/>
          <w:sz w:val="32"/>
          <w:szCs w:val="32"/>
          <w:highlight w:val="none"/>
        </w:rPr>
        <w:t>(类)</w:t>
      </w:r>
      <w:r>
        <w:rPr>
          <w:rFonts w:hint="eastAsia" w:ascii="楷体" w:hAnsi="楷体" w:eastAsia="楷体" w:cs="楷体"/>
          <w:bCs/>
          <w:kern w:val="44"/>
          <w:sz w:val="32"/>
          <w:szCs w:val="32"/>
          <w:highlight w:val="none"/>
          <w:lang w:eastAsia="zh-CN"/>
        </w:rPr>
        <w:t>公共卫生</w:t>
      </w:r>
      <w:r>
        <w:rPr>
          <w:rFonts w:hint="eastAsia" w:ascii="楷体" w:hAnsi="楷体" w:eastAsia="楷体" w:cs="楷体"/>
          <w:bCs/>
          <w:kern w:val="44"/>
          <w:sz w:val="32"/>
          <w:szCs w:val="32"/>
          <w:highlight w:val="none"/>
          <w:lang w:val="en-US" w:eastAsia="zh-CN"/>
        </w:rPr>
        <w:t>（款）卫生监督机构（项）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w:t>
      </w:r>
      <w:r>
        <w:rPr>
          <w:rFonts w:hint="eastAsia" w:ascii="仿宋_GB2312"/>
          <w:bCs/>
          <w:kern w:val="44"/>
          <w:sz w:val="32"/>
          <w:szCs w:val="32"/>
          <w:highlight w:val="none"/>
          <w:u w:val="none"/>
          <w:lang w:val="en-US" w:eastAsia="zh-CN"/>
        </w:rPr>
        <w:t>为</w:t>
      </w:r>
      <w:r>
        <w:rPr>
          <w:rFonts w:hint="eastAsia"/>
          <w:bCs/>
          <w:kern w:val="44"/>
          <w:sz w:val="32"/>
          <w:szCs w:val="32"/>
          <w:highlight w:val="none"/>
          <w:u w:val="none"/>
          <w:lang w:val="en-US" w:eastAsia="zh-CN"/>
        </w:rPr>
        <w:t>1491.2</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比上年预算</w:t>
      </w:r>
      <w:r>
        <w:rPr>
          <w:rFonts w:hint="eastAsia"/>
          <w:bCs/>
          <w:kern w:val="44"/>
          <w:sz w:val="32"/>
          <w:szCs w:val="32"/>
          <w:highlight w:val="none"/>
          <w:lang w:eastAsia="zh-CN"/>
        </w:rPr>
        <w:t>增加</w:t>
      </w:r>
      <w:r>
        <w:rPr>
          <w:rFonts w:hint="eastAsia"/>
          <w:bCs/>
          <w:kern w:val="44"/>
          <w:sz w:val="32"/>
          <w:szCs w:val="32"/>
          <w:highlight w:val="none"/>
          <w:lang w:val="en-US" w:eastAsia="zh-CN"/>
        </w:rPr>
        <w:t>158.09</w:t>
      </w:r>
      <w:r>
        <w:rPr>
          <w:rFonts w:hint="eastAsia" w:ascii="仿宋_GB2312" w:eastAsia="仿宋_GB2312"/>
          <w:bCs/>
          <w:kern w:val="44"/>
          <w:sz w:val="32"/>
          <w:szCs w:val="32"/>
          <w:highlight w:val="none"/>
        </w:rPr>
        <w:t>万元，</w:t>
      </w:r>
      <w:r>
        <w:rPr>
          <w:rFonts w:hint="eastAsia"/>
          <w:bCs/>
          <w:kern w:val="44"/>
          <w:sz w:val="32"/>
          <w:szCs w:val="32"/>
          <w:highlight w:val="none"/>
          <w:lang w:eastAsia="zh-CN"/>
        </w:rPr>
        <w:t>增长</w:t>
      </w:r>
      <w:r>
        <w:rPr>
          <w:rFonts w:hint="eastAsia"/>
          <w:bCs/>
          <w:kern w:val="44"/>
          <w:sz w:val="32"/>
          <w:szCs w:val="32"/>
          <w:highlight w:val="none"/>
          <w:lang w:val="en-US" w:eastAsia="zh-CN"/>
        </w:rPr>
        <w:t>11.86</w:t>
      </w:r>
      <w:r>
        <w:rPr>
          <w:rFonts w:hint="eastAsia" w:ascii="仿宋_GB2312" w:eastAsia="仿宋_GB2312"/>
          <w:bCs/>
          <w:kern w:val="44"/>
          <w:sz w:val="32"/>
          <w:szCs w:val="32"/>
          <w:highlight w:val="none"/>
        </w:rPr>
        <w:t>%。主要原因是</w:t>
      </w:r>
      <w:r>
        <w:rPr>
          <w:rFonts w:hint="eastAsia" w:ascii="仿宋" w:hAnsi="仿宋" w:eastAsia="仿宋"/>
          <w:sz w:val="32"/>
          <w:szCs w:val="32"/>
          <w:lang w:val="en-US" w:eastAsia="zh-CN"/>
        </w:rPr>
        <w:t>增长的主要原因为本年项目增加。</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bCs/>
          <w:kern w:val="44"/>
          <w:sz w:val="32"/>
          <w:szCs w:val="32"/>
          <w:highlight w:val="none"/>
          <w:lang w:eastAsia="zh-CN"/>
        </w:rPr>
      </w:pPr>
      <w:r>
        <w:rPr>
          <w:rFonts w:hint="eastAsia" w:ascii="仿宋" w:hAnsi="仿宋" w:eastAsia="仿宋"/>
          <w:sz w:val="32"/>
          <w:szCs w:val="32"/>
          <w:lang w:val="en-US" w:eastAsia="zh-CN"/>
        </w:rPr>
        <w:t>（9）</w:t>
      </w:r>
      <w:r>
        <w:rPr>
          <w:rFonts w:hint="eastAsia" w:ascii="楷体" w:hAnsi="楷体" w:eastAsia="楷体" w:cs="楷体"/>
          <w:bCs/>
          <w:kern w:val="44"/>
          <w:sz w:val="32"/>
          <w:szCs w:val="32"/>
          <w:highlight w:val="none"/>
          <w:lang w:eastAsia="zh-CN"/>
        </w:rPr>
        <w:t>卫生健康支出</w:t>
      </w:r>
      <w:r>
        <w:rPr>
          <w:rFonts w:hint="eastAsia" w:ascii="楷体" w:hAnsi="楷体" w:eastAsia="楷体" w:cs="楷体"/>
          <w:bCs/>
          <w:kern w:val="44"/>
          <w:sz w:val="32"/>
          <w:szCs w:val="32"/>
          <w:highlight w:val="none"/>
        </w:rPr>
        <w:t>(类)</w:t>
      </w:r>
      <w:r>
        <w:rPr>
          <w:rFonts w:hint="eastAsia" w:ascii="楷体" w:hAnsi="楷体" w:eastAsia="楷体" w:cs="楷体"/>
          <w:bCs/>
          <w:kern w:val="44"/>
          <w:sz w:val="32"/>
          <w:szCs w:val="32"/>
          <w:highlight w:val="none"/>
          <w:lang w:eastAsia="zh-CN"/>
        </w:rPr>
        <w:t>公共卫生</w:t>
      </w:r>
      <w:r>
        <w:rPr>
          <w:rFonts w:hint="eastAsia" w:ascii="楷体" w:hAnsi="楷体" w:eastAsia="楷体" w:cs="楷体"/>
          <w:bCs/>
          <w:kern w:val="44"/>
          <w:sz w:val="32"/>
          <w:szCs w:val="32"/>
          <w:highlight w:val="none"/>
          <w:lang w:val="en-US" w:eastAsia="zh-CN"/>
        </w:rPr>
        <w:t>（款）应急救治机构（项）</w:t>
      </w:r>
      <w:r>
        <w:rPr>
          <w:rFonts w:hint="eastAsia" w:ascii="黑体" w:hAnsi="黑体" w:eastAsia="黑体" w:cs="黑体"/>
          <w:b w:val="0"/>
          <w:bCs w:val="0"/>
          <w:sz w:val="32"/>
          <w:szCs w:val="32"/>
          <w:u w:val="none"/>
          <w:lang w:val="en-US" w:eastAsia="zh-CN"/>
        </w:rPr>
        <w:t>2024</w:t>
      </w:r>
      <w:r>
        <w:rPr>
          <w:rFonts w:hint="eastAsia" w:ascii="仿宋_GB2312" w:eastAsia="仿宋_GB2312"/>
          <w:bCs/>
          <w:kern w:val="44"/>
          <w:sz w:val="32"/>
          <w:szCs w:val="32"/>
          <w:highlight w:val="none"/>
        </w:rPr>
        <w:t>年</w:t>
      </w:r>
      <w:r>
        <w:rPr>
          <w:rFonts w:hint="eastAsia" w:ascii="仿宋_GB2312"/>
          <w:bCs/>
          <w:kern w:val="44"/>
          <w:sz w:val="32"/>
          <w:szCs w:val="32"/>
          <w:highlight w:val="none"/>
          <w:lang w:val="en-US" w:eastAsia="zh-CN"/>
        </w:rPr>
        <w:t>预算数</w:t>
      </w:r>
      <w:r>
        <w:rPr>
          <w:rFonts w:hint="eastAsia" w:ascii="仿宋_GB2312"/>
          <w:bCs/>
          <w:kern w:val="44"/>
          <w:sz w:val="32"/>
          <w:szCs w:val="32"/>
          <w:highlight w:val="none"/>
          <w:u w:val="none"/>
          <w:lang w:val="en-US" w:eastAsia="zh-CN"/>
        </w:rPr>
        <w:t>为</w:t>
      </w:r>
      <w:r>
        <w:rPr>
          <w:rFonts w:hint="eastAsia"/>
          <w:bCs/>
          <w:kern w:val="44"/>
          <w:sz w:val="32"/>
          <w:szCs w:val="32"/>
          <w:highlight w:val="none"/>
          <w:u w:val="none"/>
          <w:lang w:val="en-US" w:eastAsia="zh-CN"/>
        </w:rPr>
        <w:t>90</w:t>
      </w:r>
      <w:r>
        <w:rPr>
          <w:rFonts w:hint="eastAsia" w:ascii="仿宋_GB2312" w:eastAsia="仿宋_GB2312"/>
          <w:bCs/>
          <w:kern w:val="44"/>
          <w:sz w:val="32"/>
          <w:szCs w:val="32"/>
          <w:highlight w:val="none"/>
        </w:rPr>
        <w:t>万元，</w:t>
      </w:r>
      <w:r>
        <w:rPr>
          <w:rFonts w:hint="eastAsia" w:ascii="仿宋_GB2312"/>
          <w:bCs/>
          <w:kern w:val="44"/>
          <w:sz w:val="32"/>
          <w:szCs w:val="32"/>
          <w:highlight w:val="none"/>
          <w:lang w:val="en-US" w:eastAsia="zh-CN"/>
        </w:rPr>
        <w:t>比上年预算</w:t>
      </w:r>
      <w:r>
        <w:rPr>
          <w:rFonts w:hint="eastAsia"/>
          <w:bCs/>
          <w:kern w:val="44"/>
          <w:sz w:val="32"/>
          <w:szCs w:val="32"/>
          <w:highlight w:val="none"/>
          <w:lang w:eastAsia="zh-CN"/>
        </w:rPr>
        <w:t>增加</w:t>
      </w:r>
      <w:r>
        <w:rPr>
          <w:rFonts w:hint="eastAsia"/>
          <w:bCs/>
          <w:kern w:val="44"/>
          <w:sz w:val="32"/>
          <w:szCs w:val="32"/>
          <w:highlight w:val="none"/>
          <w:lang w:val="en-US" w:eastAsia="zh-CN"/>
        </w:rPr>
        <w:t>0</w:t>
      </w:r>
      <w:r>
        <w:rPr>
          <w:rFonts w:hint="eastAsia" w:ascii="仿宋_GB2312" w:eastAsia="仿宋_GB2312"/>
          <w:bCs/>
          <w:kern w:val="44"/>
          <w:sz w:val="32"/>
          <w:szCs w:val="32"/>
          <w:highlight w:val="none"/>
        </w:rPr>
        <w:t>万元，</w:t>
      </w:r>
      <w:r>
        <w:rPr>
          <w:rFonts w:hint="eastAsia"/>
          <w:bCs/>
          <w:kern w:val="44"/>
          <w:sz w:val="32"/>
          <w:szCs w:val="32"/>
          <w:highlight w:val="none"/>
          <w:lang w:eastAsia="zh-CN"/>
        </w:rPr>
        <w:t>增长</w:t>
      </w:r>
      <w:r>
        <w:rPr>
          <w:rFonts w:hint="eastAsia"/>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 w:hAnsi="仿宋" w:eastAsia="仿宋"/>
          <w:sz w:val="32"/>
          <w:szCs w:val="32"/>
          <w:u w:val="none"/>
          <w:lang w:val="en-US" w:eastAsia="zh-CN"/>
        </w:rPr>
        <w:t>与上年对比无增减变化，与上年预算持平。</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ascii="仿宋_GB2312" w:hAnsi="Times New Roman"/>
          <w:bCs/>
          <w:kern w:val="44"/>
          <w:sz w:val="32"/>
          <w:szCs w:val="32"/>
          <w:highlight w:val="none"/>
          <w:lang w:val="en-US" w:eastAsia="zh-CN"/>
        </w:rPr>
      </w:pPr>
      <w:r>
        <w:rPr>
          <w:rFonts w:hint="eastAsia" w:ascii="楷体" w:hAnsi="楷体" w:eastAsia="楷体" w:cs="楷体"/>
          <w:bCs/>
          <w:kern w:val="44"/>
          <w:sz w:val="32"/>
          <w:szCs w:val="32"/>
          <w:highlight w:val="none"/>
          <w:lang w:eastAsia="zh-CN"/>
        </w:rPr>
        <w:t>（</w:t>
      </w:r>
      <w:r>
        <w:rPr>
          <w:rFonts w:hint="eastAsia" w:ascii="楷体" w:hAnsi="楷体" w:eastAsia="楷体" w:cs="楷体"/>
          <w:bCs/>
          <w:kern w:val="44"/>
          <w:sz w:val="32"/>
          <w:szCs w:val="32"/>
          <w:highlight w:val="none"/>
          <w:lang w:val="en-US" w:eastAsia="zh-CN"/>
        </w:rPr>
        <w:t>10）</w:t>
      </w:r>
      <w:r>
        <w:rPr>
          <w:rFonts w:hint="eastAsia" w:ascii="楷体" w:hAnsi="楷体" w:eastAsia="楷体" w:cs="楷体"/>
          <w:bCs/>
          <w:kern w:val="44"/>
          <w:sz w:val="32"/>
          <w:szCs w:val="32"/>
          <w:highlight w:val="none"/>
          <w:lang w:eastAsia="zh-CN"/>
        </w:rPr>
        <w:t>卫生健康支出(类)公共卫生</w:t>
      </w:r>
      <w:r>
        <w:rPr>
          <w:rFonts w:hint="eastAsia" w:ascii="楷体" w:hAnsi="楷体" w:eastAsia="楷体" w:cs="楷体"/>
          <w:bCs/>
          <w:kern w:val="44"/>
          <w:sz w:val="32"/>
          <w:szCs w:val="32"/>
          <w:highlight w:val="none"/>
          <w:lang w:val="en-US" w:eastAsia="zh-CN"/>
        </w:rPr>
        <w:t>（款）采供血机构（项）2024</w:t>
      </w:r>
      <w:r>
        <w:rPr>
          <w:rFonts w:hint="eastAsia" w:ascii="仿宋_GB2312" w:hAnsi="Times New Roman"/>
          <w:bCs/>
          <w:kern w:val="44"/>
          <w:sz w:val="32"/>
          <w:szCs w:val="32"/>
          <w:highlight w:val="none"/>
          <w:lang w:val="en-US" w:eastAsia="zh-CN"/>
        </w:rPr>
        <w:t>年预算数为</w:t>
      </w:r>
      <w:r>
        <w:rPr>
          <w:rFonts w:hint="eastAsia" w:hAnsi="Times New Roman"/>
          <w:bCs/>
          <w:kern w:val="44"/>
          <w:sz w:val="32"/>
          <w:szCs w:val="32"/>
          <w:highlight w:val="none"/>
          <w:lang w:val="en-US" w:eastAsia="zh-CN"/>
        </w:rPr>
        <w:t>520.05</w:t>
      </w:r>
      <w:r>
        <w:rPr>
          <w:rFonts w:hint="eastAsia" w:ascii="仿宋_GB2312" w:hAnsi="Times New Roman"/>
          <w:bCs/>
          <w:kern w:val="44"/>
          <w:sz w:val="32"/>
          <w:szCs w:val="32"/>
          <w:highlight w:val="none"/>
          <w:lang w:val="en-US" w:eastAsia="zh-CN"/>
        </w:rPr>
        <w:t>万元，比上年预算</w:t>
      </w:r>
      <w:r>
        <w:rPr>
          <w:rFonts w:hint="eastAsia" w:hAnsi="Times New Roman"/>
          <w:bCs/>
          <w:kern w:val="44"/>
          <w:sz w:val="32"/>
          <w:szCs w:val="32"/>
          <w:highlight w:val="none"/>
          <w:lang w:val="en-US" w:eastAsia="zh-CN"/>
        </w:rPr>
        <w:t>增加106.46</w:t>
      </w:r>
      <w:r>
        <w:rPr>
          <w:rFonts w:hint="eastAsia" w:ascii="仿宋_GB2312" w:hAnsi="Times New Roman"/>
          <w:bCs/>
          <w:kern w:val="44"/>
          <w:sz w:val="32"/>
          <w:szCs w:val="32"/>
          <w:highlight w:val="none"/>
          <w:lang w:val="en-US" w:eastAsia="zh-CN"/>
        </w:rPr>
        <w:t>万元，</w:t>
      </w:r>
      <w:r>
        <w:rPr>
          <w:rFonts w:hint="eastAsia" w:hAnsi="Times New Roman"/>
          <w:bCs/>
          <w:kern w:val="44"/>
          <w:sz w:val="32"/>
          <w:szCs w:val="32"/>
          <w:highlight w:val="none"/>
          <w:lang w:val="en-US" w:eastAsia="zh-CN"/>
        </w:rPr>
        <w:t>增长25.74</w:t>
      </w:r>
      <w:r>
        <w:rPr>
          <w:rFonts w:hint="eastAsia" w:ascii="仿宋_GB2312" w:hAnsi="Times New Roman"/>
          <w:bCs/>
          <w:kern w:val="44"/>
          <w:sz w:val="32"/>
          <w:szCs w:val="32"/>
          <w:highlight w:val="none"/>
          <w:lang w:val="en-US" w:eastAsia="zh-CN"/>
        </w:rPr>
        <w:t>%。主要原因是</w:t>
      </w:r>
      <w:r>
        <w:rPr>
          <w:rFonts w:hint="eastAsia"/>
          <w:bCs/>
          <w:kern w:val="44"/>
          <w:sz w:val="32"/>
          <w:szCs w:val="32"/>
          <w:highlight w:val="none"/>
          <w:lang w:val="en-US" w:eastAsia="zh-CN"/>
        </w:rPr>
        <w:t>2024年度人员经费增加，增加单列绩效资金等</w:t>
      </w:r>
      <w:r>
        <w:rPr>
          <w:rFonts w:hint="eastAsia" w:hAnsi="Times New Roman"/>
          <w:bCs/>
          <w:kern w:val="44"/>
          <w:sz w:val="32"/>
          <w:szCs w:val="32"/>
          <w:highlight w:val="none"/>
          <w:lang w:val="en-US" w:eastAsia="zh-CN"/>
        </w:rPr>
        <w:t>。</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ascii="仿宋_GB2312"/>
          <w:bCs/>
          <w:kern w:val="44"/>
          <w:sz w:val="32"/>
          <w:szCs w:val="32"/>
          <w:highlight w:val="none"/>
          <w:u w:val="none"/>
          <w:lang w:val="en-US" w:eastAsia="zh-CN"/>
        </w:rPr>
      </w:pPr>
      <w:r>
        <w:rPr>
          <w:rFonts w:hint="eastAsia" w:ascii="楷体" w:hAnsi="楷体" w:eastAsia="楷体" w:cs="楷体"/>
          <w:bCs/>
          <w:color w:val="auto"/>
          <w:kern w:val="44"/>
          <w:sz w:val="32"/>
          <w:szCs w:val="32"/>
          <w:highlight w:val="none"/>
          <w:u w:val="none"/>
          <w:lang w:eastAsia="zh-CN"/>
        </w:rPr>
        <w:t>（</w:t>
      </w:r>
      <w:r>
        <w:rPr>
          <w:rFonts w:hint="eastAsia" w:ascii="楷体" w:hAnsi="楷体" w:eastAsia="楷体" w:cs="楷体"/>
          <w:bCs/>
          <w:color w:val="auto"/>
          <w:kern w:val="44"/>
          <w:sz w:val="32"/>
          <w:szCs w:val="32"/>
          <w:highlight w:val="none"/>
          <w:u w:val="none"/>
          <w:lang w:val="en-US" w:eastAsia="zh-CN"/>
        </w:rPr>
        <w:t>11）</w:t>
      </w:r>
      <w:r>
        <w:rPr>
          <w:rFonts w:hint="eastAsia" w:ascii="楷体" w:hAnsi="楷体" w:eastAsia="楷体" w:cs="楷体"/>
          <w:bCs/>
          <w:kern w:val="44"/>
          <w:sz w:val="32"/>
          <w:szCs w:val="32"/>
          <w:highlight w:val="none"/>
          <w:lang w:val="en-US" w:eastAsia="zh-CN"/>
        </w:rPr>
        <w:t>卫生健康支出(类)公共卫生（款）其他专业公共卫生机构（项）</w:t>
      </w:r>
      <w:r>
        <w:rPr>
          <w:rFonts w:hint="eastAsia" w:ascii="仿宋_GB2312"/>
          <w:bCs/>
          <w:kern w:val="44"/>
          <w:sz w:val="32"/>
          <w:szCs w:val="32"/>
          <w:highlight w:val="none"/>
          <w:u w:val="none"/>
          <w:lang w:val="en-US" w:eastAsia="zh-CN"/>
        </w:rPr>
        <w:t>202</w:t>
      </w:r>
      <w:r>
        <w:rPr>
          <w:rFonts w:hint="eastAsia"/>
          <w:bCs/>
          <w:kern w:val="44"/>
          <w:sz w:val="32"/>
          <w:szCs w:val="32"/>
          <w:highlight w:val="none"/>
          <w:u w:val="none"/>
          <w:lang w:val="en-US" w:eastAsia="zh-CN"/>
        </w:rPr>
        <w:t>4</w:t>
      </w:r>
      <w:r>
        <w:rPr>
          <w:rFonts w:hint="eastAsia" w:ascii="仿宋_GB2312"/>
          <w:bCs/>
          <w:kern w:val="44"/>
          <w:sz w:val="32"/>
          <w:szCs w:val="32"/>
          <w:highlight w:val="none"/>
          <w:u w:val="none"/>
          <w:lang w:val="en-US" w:eastAsia="zh-CN"/>
        </w:rPr>
        <w:t>年预算数为</w:t>
      </w:r>
      <w:r>
        <w:rPr>
          <w:rFonts w:hint="eastAsia"/>
          <w:bCs/>
          <w:kern w:val="44"/>
          <w:sz w:val="32"/>
          <w:szCs w:val="32"/>
          <w:highlight w:val="none"/>
          <w:u w:val="none"/>
          <w:lang w:val="en-US" w:eastAsia="zh-CN"/>
        </w:rPr>
        <w:t>177.28</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比上</w:t>
      </w:r>
      <w:r>
        <w:rPr>
          <w:rFonts w:hint="eastAsia"/>
          <w:bCs/>
          <w:kern w:val="44"/>
          <w:sz w:val="32"/>
          <w:szCs w:val="32"/>
          <w:highlight w:val="none"/>
          <w:u w:val="none"/>
          <w:lang w:val="en-US" w:eastAsia="zh-CN"/>
        </w:rPr>
        <w:t>年预算</w:t>
      </w:r>
      <w:r>
        <w:rPr>
          <w:rFonts w:hint="eastAsia" w:ascii="仿宋_GB2312" w:eastAsia="仿宋_GB2312"/>
          <w:bCs/>
          <w:kern w:val="44"/>
          <w:sz w:val="32"/>
          <w:szCs w:val="32"/>
          <w:highlight w:val="none"/>
          <w:u w:val="none"/>
        </w:rPr>
        <w:t>增加</w:t>
      </w:r>
      <w:r>
        <w:rPr>
          <w:rFonts w:hint="eastAsia"/>
          <w:bCs/>
          <w:kern w:val="44"/>
          <w:sz w:val="32"/>
          <w:szCs w:val="32"/>
          <w:highlight w:val="none"/>
          <w:u w:val="none"/>
          <w:lang w:val="en-US" w:eastAsia="zh-CN"/>
        </w:rPr>
        <w:t>177.28</w:t>
      </w:r>
      <w:r>
        <w:rPr>
          <w:rFonts w:hint="eastAsia" w:ascii="仿宋_GB2312" w:eastAsia="仿宋_GB2312"/>
          <w:bCs/>
          <w:kern w:val="44"/>
          <w:sz w:val="32"/>
          <w:szCs w:val="32"/>
          <w:highlight w:val="none"/>
          <w:u w:val="none"/>
        </w:rPr>
        <w:t>万元，增长</w:t>
      </w:r>
      <w:r>
        <w:rPr>
          <w:rFonts w:hint="eastAsia"/>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hAnsi="Times New Roman"/>
          <w:bCs/>
          <w:kern w:val="44"/>
          <w:sz w:val="32"/>
          <w:szCs w:val="32"/>
          <w:highlight w:val="none"/>
          <w:u w:val="none"/>
          <w:lang w:val="en-US" w:eastAsia="zh-CN"/>
        </w:rPr>
        <w:t>原因为市急救中心本年预算含人员及公用经费而上年无</w:t>
      </w:r>
      <w:r>
        <w:rPr>
          <w:rFonts w:hint="eastAsia" w:ascii="仿宋_GB2312"/>
          <w:bCs/>
          <w:kern w:val="44"/>
          <w:sz w:val="32"/>
          <w:szCs w:val="32"/>
          <w:highlight w:val="none"/>
          <w:u w:val="none"/>
          <w:lang w:val="en-US" w:eastAsia="zh-CN"/>
        </w:rPr>
        <w:t>。</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eastAsia" w:ascii="仿宋_GB2312"/>
          <w:bCs/>
          <w:kern w:val="44"/>
          <w:sz w:val="32"/>
          <w:szCs w:val="32"/>
          <w:highlight w:val="none"/>
          <w:u w:val="none"/>
          <w:lang w:val="en-US" w:eastAsia="zh-CN"/>
        </w:rPr>
      </w:pPr>
      <w:r>
        <w:rPr>
          <w:rFonts w:hint="eastAsia"/>
          <w:bCs/>
          <w:kern w:val="44"/>
          <w:sz w:val="32"/>
          <w:szCs w:val="32"/>
          <w:highlight w:val="none"/>
          <w:u w:val="none"/>
          <w:lang w:val="en-US" w:eastAsia="zh-CN"/>
        </w:rPr>
        <w:t>（12）</w:t>
      </w:r>
      <w:r>
        <w:rPr>
          <w:rFonts w:hint="eastAsia" w:ascii="仿宋_GB2312" w:hAnsi="宋体"/>
          <w:bCs/>
          <w:sz w:val="32"/>
          <w:szCs w:val="32"/>
          <w:highlight w:val="none"/>
          <w:u w:val="none"/>
          <w:lang w:val="en-US" w:eastAsia="zh-CN"/>
        </w:rPr>
        <w:t>卫生健康支出(类)公共卫生（款）</w:t>
      </w:r>
      <w:r>
        <w:rPr>
          <w:rFonts w:hint="eastAsia" w:ascii="仿宋_GB2312" w:eastAsia="仿宋_GB2312"/>
          <w:bCs/>
          <w:kern w:val="44"/>
          <w:sz w:val="32"/>
          <w:szCs w:val="32"/>
          <w:highlight w:val="none"/>
          <w:u w:val="none"/>
          <w:lang w:val="en-US" w:eastAsia="zh-CN"/>
        </w:rPr>
        <w:t>基本公共卫生服务</w:t>
      </w:r>
      <w:r>
        <w:rPr>
          <w:rFonts w:hint="eastAsia" w:ascii="仿宋_GB2312"/>
          <w:bCs/>
          <w:kern w:val="44"/>
          <w:sz w:val="32"/>
          <w:szCs w:val="32"/>
          <w:highlight w:val="none"/>
          <w:u w:val="none"/>
          <w:lang w:val="en-US" w:eastAsia="zh-CN"/>
        </w:rPr>
        <w:t>（项）202</w:t>
      </w:r>
      <w:r>
        <w:rPr>
          <w:rFonts w:hint="eastAsia"/>
          <w:bCs/>
          <w:kern w:val="44"/>
          <w:sz w:val="32"/>
          <w:szCs w:val="32"/>
          <w:highlight w:val="none"/>
          <w:u w:val="none"/>
          <w:lang w:val="en-US" w:eastAsia="zh-CN"/>
        </w:rPr>
        <w:t>4</w:t>
      </w:r>
      <w:r>
        <w:rPr>
          <w:rFonts w:hint="eastAsia" w:ascii="仿宋_GB2312"/>
          <w:bCs/>
          <w:kern w:val="44"/>
          <w:sz w:val="32"/>
          <w:szCs w:val="32"/>
          <w:highlight w:val="none"/>
          <w:u w:val="none"/>
          <w:lang w:val="en-US" w:eastAsia="zh-CN"/>
        </w:rPr>
        <w:t>年预算数为</w:t>
      </w:r>
      <w:r>
        <w:rPr>
          <w:rFonts w:hint="eastAsia"/>
          <w:bCs/>
          <w:kern w:val="44"/>
          <w:sz w:val="32"/>
          <w:szCs w:val="32"/>
          <w:highlight w:val="none"/>
          <w:u w:val="none"/>
          <w:lang w:val="en-US" w:eastAsia="zh-CN"/>
        </w:rPr>
        <w:t>100</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比上</w:t>
      </w:r>
      <w:r>
        <w:rPr>
          <w:rFonts w:hint="eastAsia"/>
          <w:bCs/>
          <w:kern w:val="44"/>
          <w:sz w:val="32"/>
          <w:szCs w:val="32"/>
          <w:highlight w:val="none"/>
          <w:u w:val="none"/>
          <w:lang w:val="en-US" w:eastAsia="zh-CN"/>
        </w:rPr>
        <w:t>年预算</w:t>
      </w:r>
      <w:r>
        <w:rPr>
          <w:rFonts w:hint="eastAsia" w:ascii="仿宋_GB2312" w:eastAsia="仿宋_GB2312"/>
          <w:bCs/>
          <w:kern w:val="44"/>
          <w:sz w:val="32"/>
          <w:szCs w:val="32"/>
          <w:highlight w:val="none"/>
          <w:u w:val="none"/>
        </w:rPr>
        <w:t>增加</w:t>
      </w:r>
      <w:r>
        <w:rPr>
          <w:rFonts w:hint="eastAsia"/>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hAnsi="Times New Roman"/>
          <w:bCs/>
          <w:kern w:val="44"/>
          <w:sz w:val="32"/>
          <w:szCs w:val="32"/>
          <w:highlight w:val="none"/>
          <w:u w:val="none"/>
          <w:lang w:val="en-US" w:eastAsia="zh-CN"/>
        </w:rPr>
        <w:t>与上年对比无增减变化，与上年预算持平</w:t>
      </w:r>
      <w:r>
        <w:rPr>
          <w:rFonts w:hint="eastAsia" w:ascii="仿宋_GB2312"/>
          <w:bCs/>
          <w:kern w:val="44"/>
          <w:sz w:val="32"/>
          <w:szCs w:val="32"/>
          <w:highlight w:val="none"/>
          <w:u w:val="none"/>
          <w:lang w:val="en-US" w:eastAsia="zh-CN"/>
        </w:rPr>
        <w:t>。</w:t>
      </w:r>
    </w:p>
    <w:p>
      <w:pPr>
        <w:pStyle w:val="5"/>
        <w:pageBreakBefore w:val="0"/>
        <w:widowControl w:val="0"/>
        <w:kinsoku/>
        <w:wordWrap/>
        <w:overflowPunct/>
        <w:topLinePunct w:val="0"/>
        <w:bidi w:val="0"/>
        <w:snapToGrid w:val="0"/>
        <w:spacing w:line="360" w:lineRule="auto"/>
        <w:ind w:firstLine="640" w:firstLineChars="200"/>
        <w:jc w:val="both"/>
        <w:textAlignment w:val="auto"/>
        <w:rPr>
          <w:rFonts w:hint="default"/>
          <w:color w:val="FF0000"/>
          <w:lang w:val="en-US" w:eastAsia="zh-CN"/>
        </w:rPr>
      </w:pPr>
      <w:r>
        <w:rPr>
          <w:rFonts w:hint="eastAsia"/>
          <w:bCs/>
          <w:kern w:val="44"/>
          <w:sz w:val="32"/>
          <w:szCs w:val="32"/>
          <w:highlight w:val="none"/>
          <w:u w:val="none"/>
          <w:lang w:val="en-US" w:eastAsia="zh-CN"/>
        </w:rPr>
        <w:t>（13）</w:t>
      </w:r>
      <w:r>
        <w:rPr>
          <w:rFonts w:hint="eastAsia" w:ascii="仿宋_GB2312" w:hAnsi="宋体"/>
          <w:bCs/>
          <w:sz w:val="32"/>
          <w:szCs w:val="32"/>
          <w:highlight w:val="none"/>
          <w:u w:val="none"/>
          <w:lang w:val="en-US" w:eastAsia="zh-CN"/>
        </w:rPr>
        <w:t>卫生健康支出(类)其他卫生健康支出（款）</w:t>
      </w:r>
      <w:r>
        <w:rPr>
          <w:rFonts w:hint="eastAsia"/>
          <w:bCs/>
          <w:kern w:val="44"/>
          <w:sz w:val="32"/>
          <w:szCs w:val="32"/>
          <w:highlight w:val="none"/>
          <w:u w:val="none"/>
          <w:lang w:val="en-US" w:eastAsia="zh-CN"/>
        </w:rPr>
        <w:t>其他卫生健康支出</w:t>
      </w:r>
      <w:r>
        <w:rPr>
          <w:rFonts w:hint="eastAsia" w:ascii="仿宋_GB2312"/>
          <w:bCs/>
          <w:kern w:val="44"/>
          <w:sz w:val="32"/>
          <w:szCs w:val="32"/>
          <w:highlight w:val="none"/>
          <w:u w:val="none"/>
          <w:lang w:val="en-US" w:eastAsia="zh-CN"/>
        </w:rPr>
        <w:t>（项）202</w:t>
      </w:r>
      <w:r>
        <w:rPr>
          <w:rFonts w:hint="eastAsia"/>
          <w:bCs/>
          <w:kern w:val="44"/>
          <w:sz w:val="32"/>
          <w:szCs w:val="32"/>
          <w:highlight w:val="none"/>
          <w:u w:val="none"/>
          <w:lang w:val="en-US" w:eastAsia="zh-CN"/>
        </w:rPr>
        <w:t>4</w:t>
      </w:r>
      <w:r>
        <w:rPr>
          <w:rFonts w:hint="eastAsia" w:ascii="仿宋_GB2312"/>
          <w:bCs/>
          <w:kern w:val="44"/>
          <w:sz w:val="32"/>
          <w:szCs w:val="32"/>
          <w:highlight w:val="none"/>
          <w:u w:val="none"/>
          <w:lang w:val="en-US" w:eastAsia="zh-CN"/>
        </w:rPr>
        <w:t>年预算数为</w:t>
      </w:r>
      <w:r>
        <w:rPr>
          <w:rFonts w:hint="eastAsia"/>
          <w:bCs/>
          <w:kern w:val="44"/>
          <w:sz w:val="32"/>
          <w:szCs w:val="32"/>
          <w:highlight w:val="none"/>
          <w:u w:val="none"/>
          <w:lang w:val="en-US" w:eastAsia="zh-CN"/>
        </w:rPr>
        <w:t>118.13</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val="en-US" w:eastAsia="zh-CN"/>
        </w:rPr>
        <w:t>比上</w:t>
      </w:r>
      <w:r>
        <w:rPr>
          <w:rFonts w:hint="eastAsia"/>
          <w:bCs/>
          <w:kern w:val="44"/>
          <w:sz w:val="32"/>
          <w:szCs w:val="32"/>
          <w:highlight w:val="none"/>
          <w:u w:val="none"/>
          <w:lang w:val="en-US" w:eastAsia="zh-CN"/>
        </w:rPr>
        <w:t>年预算增加27.78</w:t>
      </w:r>
      <w:r>
        <w:rPr>
          <w:rFonts w:hint="eastAsia" w:ascii="仿宋_GB2312" w:eastAsia="仿宋_GB2312"/>
          <w:bCs/>
          <w:kern w:val="44"/>
          <w:sz w:val="32"/>
          <w:szCs w:val="32"/>
          <w:highlight w:val="none"/>
          <w:u w:val="none"/>
        </w:rPr>
        <w:t>万元，</w:t>
      </w:r>
      <w:r>
        <w:rPr>
          <w:rFonts w:hint="eastAsia"/>
          <w:bCs/>
          <w:kern w:val="44"/>
          <w:sz w:val="32"/>
          <w:szCs w:val="32"/>
          <w:highlight w:val="none"/>
          <w:u w:val="none"/>
          <w:lang w:eastAsia="zh-CN"/>
        </w:rPr>
        <w:t>下降</w:t>
      </w:r>
      <w:r>
        <w:rPr>
          <w:rFonts w:hint="eastAsia"/>
          <w:bCs/>
          <w:kern w:val="44"/>
          <w:sz w:val="32"/>
          <w:szCs w:val="32"/>
          <w:highlight w:val="none"/>
          <w:u w:val="none"/>
          <w:lang w:val="en-US" w:eastAsia="zh-CN"/>
        </w:rPr>
        <w:t>30.75</w:t>
      </w:r>
      <w:r>
        <w:rPr>
          <w:rFonts w:hint="eastAsia" w:ascii="仿宋_GB2312" w:eastAsia="仿宋_GB2312"/>
          <w:bCs/>
          <w:kern w:val="44"/>
          <w:sz w:val="32"/>
          <w:szCs w:val="32"/>
          <w:highlight w:val="none"/>
          <w:u w:val="none"/>
        </w:rPr>
        <w:t>%。</w:t>
      </w:r>
      <w:r>
        <w:rPr>
          <w:rFonts w:hint="eastAsia" w:hAnsi="Times New Roman"/>
          <w:bCs/>
          <w:kern w:val="44"/>
          <w:sz w:val="32"/>
          <w:szCs w:val="32"/>
          <w:highlight w:val="none"/>
          <w:u w:val="none"/>
          <w:lang w:val="en-US" w:eastAsia="zh-CN"/>
        </w:rPr>
        <w:t>主要原因是二级单位人员增加。</w:t>
      </w:r>
    </w:p>
    <w:p>
      <w:pPr>
        <w:bidi w:val="0"/>
        <w:ind w:firstLine="643" w:firstLineChars="200"/>
        <w:rPr>
          <w:rFonts w:hint="eastAsia"/>
          <w:b/>
          <w:bCs/>
          <w:lang w:val="en-US" w:eastAsia="zh-CN"/>
        </w:rPr>
      </w:pPr>
      <w:r>
        <w:rPr>
          <w:rFonts w:hint="eastAsia"/>
          <w:b/>
          <w:bCs/>
          <w:lang w:val="en-US" w:eastAsia="zh-CN"/>
        </w:rPr>
        <w:t>（四）一般公共预算基本支出情况说明</w:t>
      </w:r>
    </w:p>
    <w:p>
      <w:pPr>
        <w:bidi w:val="0"/>
        <w:ind w:firstLine="640" w:firstLineChars="200"/>
        <w:rPr>
          <w:rFonts w:hint="eastAsia"/>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年度一般公共预算基本支出</w:t>
      </w:r>
      <w:r>
        <w:rPr>
          <w:rFonts w:hint="eastAsia"/>
          <w:u w:val="single"/>
          <w:lang w:val="en-US" w:eastAsia="zh-CN"/>
        </w:rPr>
        <w:t>9065.09</w:t>
      </w:r>
      <w:r>
        <w:rPr>
          <w:rFonts w:hint="eastAsia"/>
          <w:lang w:val="en-US" w:eastAsia="zh-CN"/>
        </w:rPr>
        <w:t>万元，其中：</w:t>
      </w:r>
    </w:p>
    <w:p>
      <w:pPr>
        <w:bidi w:val="0"/>
        <w:ind w:firstLine="640" w:firstLineChars="200"/>
        <w:rPr>
          <w:rFonts w:hint="eastAsia"/>
          <w:lang w:val="en-US" w:eastAsia="zh-CN"/>
        </w:rPr>
      </w:pPr>
      <w:r>
        <w:rPr>
          <w:rFonts w:hint="eastAsia"/>
          <w:lang w:val="en-US" w:eastAsia="zh-CN"/>
        </w:rPr>
        <w:t>人员经费</w:t>
      </w:r>
      <w:r>
        <w:rPr>
          <w:rFonts w:hint="eastAsia"/>
          <w:u w:val="single"/>
          <w:lang w:val="en-US" w:eastAsia="zh-CN"/>
        </w:rPr>
        <w:t>8056.63</w:t>
      </w:r>
      <w:r>
        <w:rPr>
          <w:rFonts w:hint="eastAsia"/>
          <w:lang w:val="en-US" w:eastAsia="zh-CN"/>
        </w:rPr>
        <w:t>万元，主要包括：基本工资</w:t>
      </w:r>
      <w:r>
        <w:rPr>
          <w:rFonts w:hint="eastAsia" w:ascii="仿宋_GB2312"/>
          <w:bCs/>
          <w:kern w:val="44"/>
          <w:sz w:val="32"/>
          <w:szCs w:val="32"/>
          <w:highlight w:val="none"/>
          <w:u w:val="single"/>
          <w:lang w:val="en-US" w:eastAsia="zh-CN"/>
        </w:rPr>
        <w:t>2344.83</w:t>
      </w:r>
      <w:r>
        <w:rPr>
          <w:rFonts w:hint="eastAsia" w:ascii="仿宋_GB2312" w:eastAsia="仿宋_GB2312"/>
          <w:bCs/>
          <w:kern w:val="44"/>
          <w:sz w:val="32"/>
          <w:szCs w:val="32"/>
          <w:highlight w:val="none"/>
        </w:rPr>
        <w:t>万元</w:t>
      </w:r>
      <w:r>
        <w:rPr>
          <w:rFonts w:hint="eastAsia"/>
          <w:lang w:val="en-US" w:eastAsia="zh-CN"/>
        </w:rPr>
        <w:t>、津贴补贴</w:t>
      </w:r>
      <w:r>
        <w:rPr>
          <w:rFonts w:hint="eastAsia" w:ascii="仿宋_GB2312"/>
          <w:bCs/>
          <w:kern w:val="44"/>
          <w:sz w:val="32"/>
          <w:szCs w:val="32"/>
          <w:highlight w:val="none"/>
          <w:u w:val="single"/>
          <w:lang w:val="en-US" w:eastAsia="zh-CN"/>
        </w:rPr>
        <w:t>540.62</w:t>
      </w:r>
      <w:r>
        <w:rPr>
          <w:rFonts w:hint="eastAsia" w:ascii="仿宋_GB2312" w:eastAsia="仿宋_GB2312"/>
          <w:bCs/>
          <w:kern w:val="44"/>
          <w:sz w:val="32"/>
          <w:szCs w:val="32"/>
          <w:highlight w:val="none"/>
        </w:rPr>
        <w:t>万元</w:t>
      </w:r>
      <w:r>
        <w:rPr>
          <w:rFonts w:hint="eastAsia"/>
          <w:lang w:val="en-US" w:eastAsia="zh-CN"/>
        </w:rPr>
        <w:t>、奖金</w:t>
      </w:r>
      <w:r>
        <w:rPr>
          <w:rFonts w:hint="eastAsia" w:ascii="仿宋_GB2312"/>
          <w:bCs/>
          <w:kern w:val="44"/>
          <w:sz w:val="32"/>
          <w:szCs w:val="32"/>
          <w:highlight w:val="none"/>
          <w:u w:val="single"/>
          <w:lang w:val="en-US" w:eastAsia="zh-CN"/>
        </w:rPr>
        <w:t>1215.71</w:t>
      </w:r>
      <w:r>
        <w:rPr>
          <w:rFonts w:hint="eastAsia" w:ascii="仿宋_GB2312" w:eastAsia="仿宋_GB2312"/>
          <w:bCs/>
          <w:kern w:val="44"/>
          <w:sz w:val="32"/>
          <w:szCs w:val="32"/>
          <w:highlight w:val="none"/>
        </w:rPr>
        <w:t>万元</w:t>
      </w:r>
      <w:r>
        <w:rPr>
          <w:rFonts w:hint="eastAsia"/>
          <w:lang w:val="en-US" w:eastAsia="zh-CN"/>
        </w:rPr>
        <w:t>、绩效工资</w:t>
      </w:r>
      <w:r>
        <w:rPr>
          <w:rFonts w:hint="eastAsia" w:ascii="仿宋_GB2312"/>
          <w:bCs/>
          <w:kern w:val="44"/>
          <w:sz w:val="32"/>
          <w:szCs w:val="32"/>
          <w:highlight w:val="none"/>
          <w:u w:val="single"/>
          <w:lang w:val="en-US" w:eastAsia="zh-CN"/>
        </w:rPr>
        <w:t>856.07</w:t>
      </w:r>
      <w:r>
        <w:rPr>
          <w:rFonts w:hint="eastAsia" w:ascii="仿宋_GB2312" w:eastAsia="仿宋_GB2312"/>
          <w:bCs/>
          <w:kern w:val="44"/>
          <w:sz w:val="32"/>
          <w:szCs w:val="32"/>
          <w:highlight w:val="none"/>
        </w:rPr>
        <w:t>万元</w:t>
      </w:r>
      <w:r>
        <w:rPr>
          <w:rFonts w:hint="eastAsia"/>
          <w:lang w:val="en-US" w:eastAsia="zh-CN"/>
        </w:rPr>
        <w:t>、机关事业单位基本养老保险缴费</w:t>
      </w:r>
      <w:r>
        <w:rPr>
          <w:rFonts w:hint="eastAsia" w:ascii="仿宋_GB2312"/>
          <w:bCs/>
          <w:kern w:val="44"/>
          <w:sz w:val="32"/>
          <w:szCs w:val="32"/>
          <w:highlight w:val="none"/>
          <w:u w:val="single"/>
          <w:lang w:val="en-US" w:eastAsia="zh-CN"/>
        </w:rPr>
        <w:t>887.44</w:t>
      </w:r>
      <w:r>
        <w:rPr>
          <w:rFonts w:hint="eastAsia" w:ascii="仿宋_GB2312" w:eastAsia="仿宋_GB2312"/>
          <w:bCs/>
          <w:kern w:val="44"/>
          <w:sz w:val="32"/>
          <w:szCs w:val="32"/>
          <w:highlight w:val="none"/>
        </w:rPr>
        <w:t>万元</w:t>
      </w:r>
      <w:r>
        <w:rPr>
          <w:rFonts w:hint="eastAsia"/>
          <w:lang w:val="en-US" w:eastAsia="zh-CN"/>
        </w:rPr>
        <w:t>、职业年金缴费</w:t>
      </w:r>
      <w:r>
        <w:rPr>
          <w:rFonts w:hint="eastAsia" w:ascii="仿宋_GB2312"/>
          <w:bCs/>
          <w:kern w:val="44"/>
          <w:sz w:val="32"/>
          <w:szCs w:val="32"/>
          <w:highlight w:val="none"/>
          <w:u w:val="single"/>
          <w:lang w:val="en-US" w:eastAsia="zh-CN"/>
        </w:rPr>
        <w:t>315.72</w:t>
      </w:r>
      <w:r>
        <w:rPr>
          <w:rFonts w:hint="eastAsia" w:ascii="仿宋_GB2312" w:eastAsia="仿宋_GB2312"/>
          <w:bCs/>
          <w:kern w:val="44"/>
          <w:sz w:val="32"/>
          <w:szCs w:val="32"/>
          <w:highlight w:val="none"/>
        </w:rPr>
        <w:t>万元</w:t>
      </w:r>
      <w:r>
        <w:rPr>
          <w:rFonts w:hint="eastAsia"/>
          <w:lang w:val="en-US" w:eastAsia="zh-CN"/>
        </w:rPr>
        <w:t>、职工基本医疗保险缴费</w:t>
      </w:r>
      <w:r>
        <w:rPr>
          <w:rFonts w:hint="eastAsia" w:ascii="仿宋_GB2312"/>
          <w:bCs/>
          <w:kern w:val="44"/>
          <w:sz w:val="32"/>
          <w:szCs w:val="32"/>
          <w:highlight w:val="none"/>
          <w:u w:val="single"/>
          <w:lang w:val="en-US" w:eastAsia="zh-CN"/>
        </w:rPr>
        <w:t>750.44</w:t>
      </w:r>
      <w:r>
        <w:rPr>
          <w:rFonts w:hint="eastAsia" w:ascii="仿宋_GB2312" w:eastAsia="仿宋_GB2312"/>
          <w:bCs/>
          <w:kern w:val="44"/>
          <w:sz w:val="32"/>
          <w:szCs w:val="32"/>
          <w:highlight w:val="none"/>
        </w:rPr>
        <w:t>万元</w:t>
      </w:r>
      <w:r>
        <w:rPr>
          <w:rFonts w:hint="eastAsia"/>
          <w:lang w:val="en-US" w:eastAsia="zh-CN"/>
        </w:rPr>
        <w:t>、其他社会保障缴费</w:t>
      </w:r>
      <w:r>
        <w:rPr>
          <w:rFonts w:hint="eastAsia" w:ascii="仿宋_GB2312"/>
          <w:bCs/>
          <w:kern w:val="44"/>
          <w:sz w:val="32"/>
          <w:szCs w:val="32"/>
          <w:highlight w:val="none"/>
          <w:u w:val="single"/>
          <w:lang w:val="en-US" w:eastAsia="zh-CN"/>
        </w:rPr>
        <w:t>2.74</w:t>
      </w:r>
      <w:r>
        <w:rPr>
          <w:rFonts w:hint="eastAsia" w:ascii="仿宋_GB2312" w:eastAsia="仿宋_GB2312"/>
          <w:bCs/>
          <w:kern w:val="44"/>
          <w:sz w:val="32"/>
          <w:szCs w:val="32"/>
          <w:highlight w:val="none"/>
        </w:rPr>
        <w:t>万元</w:t>
      </w:r>
      <w:r>
        <w:rPr>
          <w:rFonts w:hint="eastAsia"/>
          <w:lang w:val="en-US" w:eastAsia="zh-CN"/>
        </w:rPr>
        <w:t>、住房公积金</w:t>
      </w:r>
      <w:r>
        <w:rPr>
          <w:rFonts w:hint="eastAsia" w:ascii="仿宋_GB2312"/>
          <w:bCs/>
          <w:kern w:val="44"/>
          <w:sz w:val="32"/>
          <w:szCs w:val="32"/>
          <w:highlight w:val="none"/>
          <w:u w:val="single"/>
          <w:lang w:val="en-US" w:eastAsia="zh-CN"/>
        </w:rPr>
        <w:t>535.95</w:t>
      </w:r>
      <w:r>
        <w:rPr>
          <w:rFonts w:hint="eastAsia" w:ascii="仿宋_GB2312" w:eastAsia="仿宋_GB2312"/>
          <w:bCs/>
          <w:kern w:val="44"/>
          <w:sz w:val="32"/>
          <w:szCs w:val="32"/>
          <w:highlight w:val="none"/>
        </w:rPr>
        <w:t>万元</w:t>
      </w:r>
      <w:r>
        <w:rPr>
          <w:rFonts w:hint="eastAsia"/>
          <w:lang w:val="en-US" w:eastAsia="zh-CN"/>
        </w:rPr>
        <w:t>、其他工资福利支出</w:t>
      </w:r>
      <w:r>
        <w:rPr>
          <w:rFonts w:hint="eastAsia" w:ascii="仿宋_GB2312"/>
          <w:bCs/>
          <w:kern w:val="44"/>
          <w:sz w:val="32"/>
          <w:szCs w:val="32"/>
          <w:highlight w:val="none"/>
          <w:u w:val="single"/>
          <w:lang w:val="en-US" w:eastAsia="zh-CN"/>
        </w:rPr>
        <w:t>14</w:t>
      </w:r>
      <w:r>
        <w:rPr>
          <w:rFonts w:hint="eastAsia" w:ascii="仿宋_GB2312" w:eastAsia="仿宋_GB2312"/>
          <w:bCs/>
          <w:kern w:val="44"/>
          <w:sz w:val="32"/>
          <w:szCs w:val="32"/>
          <w:highlight w:val="none"/>
        </w:rPr>
        <w:t>万元</w:t>
      </w:r>
      <w:r>
        <w:rPr>
          <w:rFonts w:hint="eastAsia"/>
          <w:lang w:val="en-US" w:eastAsia="zh-CN"/>
        </w:rPr>
        <w:t>、离休费</w:t>
      </w:r>
      <w:r>
        <w:rPr>
          <w:rFonts w:hint="eastAsia" w:ascii="仿宋_GB2312"/>
          <w:bCs/>
          <w:kern w:val="44"/>
          <w:sz w:val="32"/>
          <w:szCs w:val="32"/>
          <w:highlight w:val="none"/>
          <w:u w:val="single"/>
          <w:lang w:val="en-US" w:eastAsia="zh-CN"/>
        </w:rPr>
        <w:t>70.42</w:t>
      </w:r>
      <w:r>
        <w:rPr>
          <w:rFonts w:hint="eastAsia" w:ascii="仿宋_GB2312" w:eastAsia="仿宋_GB2312"/>
          <w:bCs/>
          <w:kern w:val="44"/>
          <w:sz w:val="32"/>
          <w:szCs w:val="32"/>
          <w:highlight w:val="none"/>
        </w:rPr>
        <w:t>万元</w:t>
      </w:r>
      <w:r>
        <w:rPr>
          <w:rFonts w:hint="eastAsia"/>
          <w:lang w:val="en-US" w:eastAsia="zh-CN"/>
        </w:rPr>
        <w:t>、退休费</w:t>
      </w:r>
      <w:r>
        <w:rPr>
          <w:rFonts w:hint="eastAsia" w:ascii="仿宋_GB2312"/>
          <w:bCs/>
          <w:kern w:val="44"/>
          <w:sz w:val="32"/>
          <w:szCs w:val="32"/>
          <w:highlight w:val="none"/>
          <w:u w:val="single"/>
          <w:lang w:val="en-US" w:eastAsia="zh-CN"/>
        </w:rPr>
        <w:t>367.25</w:t>
      </w:r>
      <w:r>
        <w:rPr>
          <w:rFonts w:hint="eastAsia" w:ascii="仿宋_GB2312" w:eastAsia="仿宋_GB2312"/>
          <w:bCs/>
          <w:kern w:val="44"/>
          <w:sz w:val="32"/>
          <w:szCs w:val="32"/>
          <w:highlight w:val="none"/>
        </w:rPr>
        <w:t>万元</w:t>
      </w:r>
      <w:r>
        <w:rPr>
          <w:rFonts w:hint="eastAsia"/>
          <w:lang w:val="en-US" w:eastAsia="zh-CN"/>
        </w:rPr>
        <w:t>、医疗费补助</w:t>
      </w:r>
      <w:r>
        <w:rPr>
          <w:rFonts w:hint="eastAsia" w:ascii="仿宋_GB2312"/>
          <w:bCs/>
          <w:kern w:val="44"/>
          <w:sz w:val="32"/>
          <w:szCs w:val="32"/>
          <w:highlight w:val="none"/>
          <w:u w:val="single"/>
          <w:lang w:val="en-US" w:eastAsia="zh-CN"/>
        </w:rPr>
        <w:t>155.45</w:t>
      </w:r>
      <w:r>
        <w:rPr>
          <w:rFonts w:hint="eastAsia" w:ascii="仿宋_GB2312" w:eastAsia="仿宋_GB2312"/>
          <w:bCs/>
          <w:kern w:val="44"/>
          <w:sz w:val="32"/>
          <w:szCs w:val="32"/>
          <w:highlight w:val="none"/>
        </w:rPr>
        <w:t>万元</w:t>
      </w:r>
      <w:r>
        <w:rPr>
          <w:rFonts w:hint="eastAsia"/>
          <w:lang w:val="en-US" w:eastAsia="zh-CN"/>
        </w:rPr>
        <w:t>；</w:t>
      </w:r>
    </w:p>
    <w:p>
      <w:pPr>
        <w:bidi w:val="0"/>
        <w:rPr>
          <w:rFonts w:hint="eastAsia"/>
          <w:lang w:val="en-US" w:eastAsia="zh-CN"/>
        </w:rPr>
      </w:pPr>
      <w:r>
        <w:rPr>
          <w:rFonts w:hint="eastAsia"/>
          <w:lang w:val="en-US" w:eastAsia="zh-CN"/>
        </w:rPr>
        <w:t>公用经费</w:t>
      </w:r>
      <w:r>
        <w:rPr>
          <w:rFonts w:hint="eastAsia"/>
          <w:u w:val="single"/>
          <w:lang w:val="en-US" w:eastAsia="zh-CN"/>
        </w:rPr>
        <w:t>1008.45</w:t>
      </w:r>
      <w:r>
        <w:rPr>
          <w:rFonts w:hint="eastAsia"/>
          <w:lang w:val="en-US" w:eastAsia="zh-CN"/>
        </w:rPr>
        <w:t>万元，主要包括：办公费</w:t>
      </w:r>
      <w:r>
        <w:rPr>
          <w:rFonts w:hint="eastAsia" w:ascii="仿宋_GB2312"/>
          <w:bCs/>
          <w:kern w:val="44"/>
          <w:sz w:val="32"/>
          <w:szCs w:val="32"/>
          <w:highlight w:val="none"/>
          <w:u w:val="single"/>
          <w:lang w:val="en-US" w:eastAsia="zh-CN"/>
        </w:rPr>
        <w:t>98.75</w:t>
      </w:r>
      <w:r>
        <w:rPr>
          <w:rFonts w:hint="eastAsia" w:ascii="仿宋_GB2312" w:eastAsia="仿宋_GB2312"/>
          <w:bCs/>
          <w:kern w:val="44"/>
          <w:sz w:val="32"/>
          <w:szCs w:val="32"/>
          <w:highlight w:val="none"/>
        </w:rPr>
        <w:t>万元</w:t>
      </w:r>
      <w:r>
        <w:rPr>
          <w:rFonts w:hint="eastAsia"/>
          <w:lang w:val="en-US" w:eastAsia="zh-CN"/>
        </w:rPr>
        <w:t>、印刷费</w:t>
      </w:r>
      <w:r>
        <w:rPr>
          <w:rFonts w:hint="eastAsia" w:ascii="仿宋_GB2312"/>
          <w:bCs/>
          <w:kern w:val="44"/>
          <w:sz w:val="32"/>
          <w:szCs w:val="32"/>
          <w:highlight w:val="none"/>
          <w:u w:val="single"/>
          <w:lang w:val="en-US" w:eastAsia="zh-CN"/>
        </w:rPr>
        <w:t>2.5</w:t>
      </w:r>
      <w:r>
        <w:rPr>
          <w:rFonts w:hint="eastAsia" w:ascii="仿宋_GB2312" w:eastAsia="仿宋_GB2312"/>
          <w:bCs/>
          <w:kern w:val="44"/>
          <w:sz w:val="32"/>
          <w:szCs w:val="32"/>
          <w:highlight w:val="none"/>
        </w:rPr>
        <w:t>万元</w:t>
      </w:r>
      <w:r>
        <w:rPr>
          <w:rFonts w:hint="eastAsia"/>
          <w:lang w:val="en-US" w:eastAsia="zh-CN"/>
        </w:rPr>
        <w:t>、水费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、电费</w:t>
      </w:r>
      <w:r>
        <w:rPr>
          <w:rFonts w:hint="eastAsia" w:ascii="仿宋_GB2312"/>
          <w:bCs/>
          <w:kern w:val="44"/>
          <w:sz w:val="32"/>
          <w:szCs w:val="32"/>
          <w:highlight w:val="none"/>
          <w:u w:val="single"/>
          <w:lang w:val="en-US" w:eastAsia="zh-CN"/>
        </w:rPr>
        <w:t>19.5</w:t>
      </w:r>
      <w:r>
        <w:rPr>
          <w:rFonts w:hint="eastAsia" w:ascii="仿宋_GB2312" w:eastAsia="仿宋_GB2312"/>
          <w:bCs/>
          <w:kern w:val="44"/>
          <w:sz w:val="32"/>
          <w:szCs w:val="32"/>
          <w:highlight w:val="none"/>
        </w:rPr>
        <w:t>万元</w:t>
      </w:r>
      <w:r>
        <w:rPr>
          <w:rFonts w:hint="eastAsia"/>
          <w:lang w:val="en-US" w:eastAsia="zh-CN"/>
        </w:rPr>
        <w:t>、邮电费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、物业管理费</w:t>
      </w:r>
      <w:r>
        <w:rPr>
          <w:rFonts w:hint="eastAsia" w:ascii="仿宋_GB2312"/>
          <w:bCs/>
          <w:kern w:val="44"/>
          <w:sz w:val="32"/>
          <w:szCs w:val="32"/>
          <w:highlight w:val="none"/>
          <w:u w:val="single"/>
          <w:lang w:val="en-US" w:eastAsia="zh-CN"/>
        </w:rPr>
        <w:t>17</w:t>
      </w:r>
      <w:r>
        <w:rPr>
          <w:rFonts w:hint="eastAsia" w:ascii="仿宋_GB2312" w:eastAsia="仿宋_GB2312"/>
          <w:bCs/>
          <w:kern w:val="44"/>
          <w:sz w:val="32"/>
          <w:szCs w:val="32"/>
          <w:highlight w:val="none"/>
        </w:rPr>
        <w:t>万元</w:t>
      </w:r>
      <w:r>
        <w:rPr>
          <w:rFonts w:hint="eastAsia"/>
          <w:lang w:val="en-US" w:eastAsia="zh-CN"/>
        </w:rPr>
        <w:t>、差旅费</w:t>
      </w:r>
      <w:r>
        <w:rPr>
          <w:rFonts w:hint="eastAsia" w:ascii="仿宋_GB2312"/>
          <w:bCs/>
          <w:kern w:val="44"/>
          <w:sz w:val="32"/>
          <w:szCs w:val="32"/>
          <w:highlight w:val="none"/>
          <w:u w:val="single"/>
          <w:lang w:val="en-US" w:eastAsia="zh-CN"/>
        </w:rPr>
        <w:t>6</w:t>
      </w:r>
      <w:r>
        <w:rPr>
          <w:rFonts w:hint="eastAsia" w:ascii="仿宋_GB2312" w:eastAsia="仿宋_GB2312"/>
          <w:bCs/>
          <w:kern w:val="44"/>
          <w:sz w:val="32"/>
          <w:szCs w:val="32"/>
          <w:highlight w:val="none"/>
        </w:rPr>
        <w:t>万元</w:t>
      </w:r>
      <w:r>
        <w:rPr>
          <w:rFonts w:hint="eastAsia" w:ascii="仿宋_GB2312"/>
          <w:bCs/>
          <w:kern w:val="44"/>
          <w:sz w:val="32"/>
          <w:szCs w:val="32"/>
          <w:highlight w:val="none"/>
          <w:lang w:eastAsia="zh-CN"/>
        </w:rPr>
        <w:t>、</w:t>
      </w:r>
      <w:r>
        <w:rPr>
          <w:rFonts w:hint="eastAsia"/>
          <w:lang w:val="en-US" w:eastAsia="zh-CN"/>
        </w:rPr>
        <w:t>维修(护)费</w:t>
      </w:r>
      <w:r>
        <w:rPr>
          <w:rFonts w:hint="eastAsia" w:ascii="仿宋_GB2312"/>
          <w:bCs/>
          <w:kern w:val="44"/>
          <w:sz w:val="32"/>
          <w:szCs w:val="32"/>
          <w:highlight w:val="none"/>
          <w:u w:val="single"/>
          <w:lang w:val="en-US" w:eastAsia="zh-CN"/>
        </w:rPr>
        <w:t>10.2</w:t>
      </w:r>
      <w:r>
        <w:rPr>
          <w:rFonts w:hint="eastAsia" w:ascii="仿宋_GB2312" w:eastAsia="仿宋_GB2312"/>
          <w:bCs/>
          <w:kern w:val="44"/>
          <w:sz w:val="32"/>
          <w:szCs w:val="32"/>
          <w:highlight w:val="none"/>
        </w:rPr>
        <w:t>万元</w:t>
      </w:r>
      <w:r>
        <w:rPr>
          <w:rFonts w:hint="eastAsia"/>
          <w:lang w:val="en-US" w:eastAsia="zh-CN"/>
        </w:rPr>
        <w:t>、租赁费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、培训费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、公务接待费</w:t>
      </w:r>
      <w:r>
        <w:rPr>
          <w:rFonts w:hint="eastAsia" w:ascii="仿宋_GB2312"/>
          <w:bCs/>
          <w:kern w:val="44"/>
          <w:sz w:val="32"/>
          <w:szCs w:val="32"/>
          <w:highlight w:val="none"/>
          <w:u w:val="single"/>
          <w:lang w:val="en-US" w:eastAsia="zh-CN"/>
        </w:rPr>
        <w:t>7.1</w:t>
      </w:r>
      <w:r>
        <w:rPr>
          <w:rFonts w:hint="eastAsia" w:ascii="仿宋_GB2312" w:eastAsia="仿宋_GB2312"/>
          <w:bCs/>
          <w:kern w:val="44"/>
          <w:sz w:val="32"/>
          <w:szCs w:val="32"/>
          <w:highlight w:val="none"/>
        </w:rPr>
        <w:t>万元</w:t>
      </w:r>
      <w:r>
        <w:rPr>
          <w:rFonts w:hint="eastAsia"/>
          <w:lang w:val="en-US" w:eastAsia="zh-CN"/>
        </w:rPr>
        <w:t>、专用材料费</w:t>
      </w:r>
      <w:r>
        <w:rPr>
          <w:rFonts w:hint="eastAsia" w:ascii="仿宋_GB2312"/>
          <w:bCs/>
          <w:kern w:val="44"/>
          <w:sz w:val="32"/>
          <w:szCs w:val="32"/>
          <w:highlight w:val="none"/>
          <w:u w:val="single"/>
          <w:lang w:val="en-US" w:eastAsia="zh-CN"/>
        </w:rPr>
        <w:t>329.87</w:t>
      </w:r>
      <w:r>
        <w:rPr>
          <w:rFonts w:hint="eastAsia" w:ascii="仿宋_GB2312" w:eastAsia="仿宋_GB2312"/>
          <w:bCs/>
          <w:kern w:val="44"/>
          <w:sz w:val="32"/>
          <w:szCs w:val="32"/>
          <w:highlight w:val="none"/>
        </w:rPr>
        <w:t>万元</w:t>
      </w:r>
      <w:r>
        <w:rPr>
          <w:rFonts w:hint="eastAsia"/>
          <w:lang w:val="en-US" w:eastAsia="zh-CN"/>
        </w:rPr>
        <w:t>、劳务费</w:t>
      </w:r>
      <w:r>
        <w:rPr>
          <w:rFonts w:hint="eastAsia" w:ascii="仿宋_GB2312"/>
          <w:bCs/>
          <w:kern w:val="44"/>
          <w:sz w:val="32"/>
          <w:szCs w:val="32"/>
          <w:highlight w:val="none"/>
          <w:u w:val="single"/>
          <w:lang w:val="en-US" w:eastAsia="zh-CN"/>
        </w:rPr>
        <w:t>40</w:t>
      </w:r>
      <w:r>
        <w:rPr>
          <w:rFonts w:hint="eastAsia" w:ascii="仿宋_GB2312" w:eastAsia="仿宋_GB2312"/>
          <w:bCs/>
          <w:kern w:val="44"/>
          <w:sz w:val="32"/>
          <w:szCs w:val="32"/>
          <w:highlight w:val="none"/>
        </w:rPr>
        <w:t>万元</w:t>
      </w:r>
      <w:r>
        <w:rPr>
          <w:rFonts w:hint="eastAsia"/>
          <w:lang w:val="en-US" w:eastAsia="zh-CN"/>
        </w:rPr>
        <w:t>、委托业务费</w:t>
      </w:r>
      <w:r>
        <w:rPr>
          <w:rFonts w:hint="eastAsia" w:ascii="仿宋_GB2312"/>
          <w:bCs/>
          <w:kern w:val="44"/>
          <w:sz w:val="32"/>
          <w:szCs w:val="32"/>
          <w:highlight w:val="none"/>
          <w:u w:val="single"/>
          <w:lang w:val="en-US" w:eastAsia="zh-CN"/>
        </w:rPr>
        <w:t>19.45</w:t>
      </w:r>
      <w:r>
        <w:rPr>
          <w:rFonts w:hint="eastAsia" w:ascii="仿宋_GB2312" w:eastAsia="仿宋_GB2312"/>
          <w:bCs/>
          <w:kern w:val="44"/>
          <w:sz w:val="32"/>
          <w:szCs w:val="32"/>
          <w:highlight w:val="none"/>
        </w:rPr>
        <w:t>万元</w:t>
      </w:r>
      <w:r>
        <w:rPr>
          <w:rFonts w:hint="eastAsia"/>
          <w:lang w:val="en-US" w:eastAsia="zh-CN"/>
        </w:rPr>
        <w:t>、工会经费</w:t>
      </w:r>
      <w:r>
        <w:rPr>
          <w:rFonts w:hint="eastAsia" w:ascii="仿宋_GB2312"/>
          <w:bCs/>
          <w:kern w:val="44"/>
          <w:sz w:val="32"/>
          <w:szCs w:val="32"/>
          <w:highlight w:val="none"/>
          <w:u w:val="single"/>
          <w:lang w:val="en-US" w:eastAsia="zh-CN"/>
        </w:rPr>
        <w:t>79.32</w:t>
      </w:r>
      <w:r>
        <w:rPr>
          <w:rFonts w:hint="eastAsia" w:ascii="仿宋_GB2312" w:eastAsia="仿宋_GB2312"/>
          <w:bCs/>
          <w:kern w:val="44"/>
          <w:sz w:val="32"/>
          <w:szCs w:val="32"/>
          <w:highlight w:val="none"/>
        </w:rPr>
        <w:t>万元</w:t>
      </w:r>
      <w:r>
        <w:rPr>
          <w:rFonts w:hint="eastAsia"/>
          <w:lang w:val="en-US" w:eastAsia="zh-CN"/>
        </w:rPr>
        <w:t>、福利费</w:t>
      </w:r>
      <w:r>
        <w:rPr>
          <w:rFonts w:hint="eastAsia" w:ascii="仿宋_GB2312"/>
          <w:bCs/>
          <w:kern w:val="44"/>
          <w:sz w:val="32"/>
          <w:szCs w:val="32"/>
          <w:highlight w:val="none"/>
          <w:u w:val="single"/>
          <w:lang w:val="en-US" w:eastAsia="zh-CN"/>
        </w:rPr>
        <w:t>145.91</w:t>
      </w:r>
      <w:r>
        <w:rPr>
          <w:rFonts w:hint="eastAsia" w:ascii="仿宋_GB2312" w:eastAsia="仿宋_GB2312"/>
          <w:bCs/>
          <w:kern w:val="44"/>
          <w:sz w:val="32"/>
          <w:szCs w:val="32"/>
          <w:highlight w:val="none"/>
        </w:rPr>
        <w:t>万元</w:t>
      </w:r>
      <w:r>
        <w:rPr>
          <w:rFonts w:hint="eastAsia"/>
          <w:lang w:val="en-US" w:eastAsia="zh-CN"/>
        </w:rPr>
        <w:t>、公务用车运行维护费</w:t>
      </w:r>
      <w:r>
        <w:rPr>
          <w:rFonts w:hint="eastAsia" w:ascii="仿宋_GB2312"/>
          <w:bCs/>
          <w:kern w:val="44"/>
          <w:sz w:val="32"/>
          <w:szCs w:val="32"/>
          <w:highlight w:val="none"/>
          <w:u w:val="single"/>
          <w:lang w:val="en-US" w:eastAsia="zh-CN"/>
        </w:rPr>
        <w:t>12</w:t>
      </w:r>
      <w:r>
        <w:rPr>
          <w:rFonts w:hint="eastAsia" w:ascii="仿宋_GB2312" w:eastAsia="仿宋_GB2312"/>
          <w:bCs/>
          <w:kern w:val="44"/>
          <w:sz w:val="32"/>
          <w:szCs w:val="32"/>
          <w:highlight w:val="none"/>
        </w:rPr>
        <w:t>万元</w:t>
      </w:r>
      <w:r>
        <w:rPr>
          <w:rFonts w:hint="eastAsia"/>
          <w:lang w:val="en-US" w:eastAsia="zh-CN"/>
        </w:rPr>
        <w:t>、其他交通费用</w:t>
      </w:r>
      <w:r>
        <w:rPr>
          <w:rFonts w:hint="eastAsia" w:ascii="仿宋_GB2312"/>
          <w:bCs/>
          <w:kern w:val="44"/>
          <w:sz w:val="32"/>
          <w:szCs w:val="32"/>
          <w:highlight w:val="none"/>
          <w:u w:val="single"/>
          <w:lang w:val="en-US" w:eastAsia="zh-CN"/>
        </w:rPr>
        <w:t>63.79</w:t>
      </w:r>
      <w:r>
        <w:rPr>
          <w:rFonts w:hint="eastAsia" w:ascii="仿宋_GB2312" w:eastAsia="仿宋_GB2312"/>
          <w:bCs/>
          <w:kern w:val="44"/>
          <w:sz w:val="32"/>
          <w:szCs w:val="32"/>
          <w:highlight w:val="none"/>
        </w:rPr>
        <w:t>万元</w:t>
      </w:r>
      <w:r>
        <w:rPr>
          <w:rFonts w:hint="eastAsia"/>
          <w:lang w:val="en-US" w:eastAsia="zh-CN"/>
        </w:rPr>
        <w:t>、税金及附加费用</w:t>
      </w:r>
      <w:r>
        <w:rPr>
          <w:rFonts w:hint="eastAsia" w:ascii="仿宋_GB2312"/>
          <w:bCs/>
          <w:kern w:val="44"/>
          <w:sz w:val="32"/>
          <w:szCs w:val="32"/>
          <w:highlight w:val="none"/>
          <w:u w:val="single"/>
          <w:lang w:val="en-US" w:eastAsia="zh-CN"/>
        </w:rPr>
        <w:t>9</w:t>
      </w:r>
      <w:r>
        <w:rPr>
          <w:rFonts w:hint="eastAsia" w:ascii="仿宋_GB2312" w:eastAsia="仿宋_GB2312"/>
          <w:bCs/>
          <w:kern w:val="44"/>
          <w:sz w:val="32"/>
          <w:szCs w:val="32"/>
          <w:highlight w:val="none"/>
        </w:rPr>
        <w:t>万元</w:t>
      </w:r>
      <w:r>
        <w:rPr>
          <w:rFonts w:hint="eastAsia"/>
          <w:lang w:val="en-US" w:eastAsia="zh-CN"/>
        </w:rPr>
        <w:t>、其他商品和服务支出</w:t>
      </w:r>
      <w:r>
        <w:rPr>
          <w:rFonts w:hint="eastAsia" w:ascii="仿宋_GB2312"/>
          <w:bCs/>
          <w:kern w:val="44"/>
          <w:sz w:val="32"/>
          <w:szCs w:val="32"/>
          <w:highlight w:val="none"/>
          <w:u w:val="single"/>
          <w:lang w:val="en-US" w:eastAsia="zh-CN"/>
        </w:rPr>
        <w:t>144.06</w:t>
      </w:r>
      <w:r>
        <w:rPr>
          <w:rFonts w:hint="eastAsia" w:ascii="仿宋_GB2312" w:eastAsia="仿宋_GB2312"/>
          <w:bCs/>
          <w:kern w:val="44"/>
          <w:sz w:val="32"/>
          <w:szCs w:val="32"/>
          <w:highlight w:val="none"/>
        </w:rPr>
        <w:t>万元</w:t>
      </w:r>
      <w:r>
        <w:rPr>
          <w:rFonts w:hint="eastAsia"/>
          <w:lang w:val="en-US" w:eastAsia="zh-CN"/>
        </w:rPr>
        <w:t>。</w:t>
      </w:r>
    </w:p>
    <w:p>
      <w:pPr>
        <w:numPr>
          <w:ilvl w:val="0"/>
          <w:numId w:val="0"/>
        </w:numPr>
        <w:bidi w:val="0"/>
        <w:ind w:firstLine="643" w:firstLineChars="200"/>
        <w:rPr>
          <w:rFonts w:hint="eastAsia" w:ascii="仿宋_GB2312" w:hAnsi="仿宋_GB2312" w:eastAsia="仿宋_GB2312" w:cs="仿宋_GB2312"/>
          <w:b/>
          <w:bCs/>
          <w:sz w:val="32"/>
          <w:szCs w:val="32"/>
          <w:lang w:val="en-US" w:eastAsia="zh-CN"/>
        </w:rPr>
      </w:pPr>
      <w:r>
        <w:rPr>
          <w:rFonts w:hint="eastAsia"/>
          <w:b/>
          <w:bCs/>
          <w:lang w:val="en-US" w:eastAsia="zh-CN"/>
        </w:rPr>
        <w:t xml:space="preserve">（五）政府性基金预算支出情况说明 </w:t>
      </w:r>
    </w:p>
    <w:p>
      <w:pPr>
        <w:ind w:firstLine="640"/>
        <w:jc w:val="both"/>
        <w:rPr>
          <w:rFonts w:hint="default"/>
          <w:color w:val="FF0000"/>
          <w:lang w:val="en-US" w:eastAsia="zh-CN"/>
        </w:rPr>
      </w:pPr>
      <w:r>
        <w:rPr>
          <w:rFonts w:hint="eastAsia" w:ascii="仿宋_GB2312" w:hAnsi="仿宋_GB2312" w:cs="仿宋_GB2312"/>
          <w:sz w:val="32"/>
          <w:szCs w:val="32"/>
          <w:lang w:val="en-US" w:eastAsia="zh-CN"/>
        </w:rPr>
        <w:t>2024年本部门预算中没有使用政府性基金预算拨款安排的支出，故无此项预算，与上年对比无增减变化，与上年预算持平。</w:t>
      </w:r>
    </w:p>
    <w:p>
      <w:pPr>
        <w:numPr>
          <w:ilvl w:val="0"/>
          <w:numId w:val="0"/>
        </w:numPr>
        <w:bidi w:val="0"/>
        <w:ind w:firstLine="643" w:firstLineChars="200"/>
        <w:rPr>
          <w:rFonts w:hint="eastAsia"/>
          <w:b/>
          <w:bCs/>
          <w:lang w:val="en-US" w:eastAsia="zh-CN"/>
        </w:rPr>
      </w:pPr>
      <w:r>
        <w:rPr>
          <w:rFonts w:hint="eastAsia"/>
          <w:b/>
          <w:bCs/>
          <w:lang w:val="en-US" w:eastAsia="zh-CN"/>
        </w:rPr>
        <w:t>（六）国有资本经营预算支出情况说明</w:t>
      </w:r>
    </w:p>
    <w:p>
      <w:pPr>
        <w:ind w:firstLine="640"/>
        <w:jc w:val="both"/>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2024年本部门预算中没有使用国有资本经营预算拨款安排的支出，故无此项预算，与上年对比无增减变化，与上年预算持平。</w:t>
      </w:r>
    </w:p>
    <w:p>
      <w:pPr>
        <w:numPr>
          <w:ilvl w:val="0"/>
          <w:numId w:val="0"/>
        </w:numPr>
        <w:bidi w:val="0"/>
        <w:ind w:firstLine="643" w:firstLineChars="200"/>
        <w:rPr>
          <w:rFonts w:hint="eastAsia"/>
          <w:b/>
          <w:bCs/>
          <w:lang w:val="en-US" w:eastAsia="zh-CN"/>
        </w:rPr>
      </w:pPr>
      <w:r>
        <w:rPr>
          <w:rFonts w:hint="eastAsia"/>
          <w:b/>
          <w:bCs/>
          <w:lang w:val="en-US" w:eastAsia="zh-CN"/>
        </w:rPr>
        <w:t>（七）项目支出预算情况说明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w:t>
      </w:r>
      <w:r>
        <w:rPr>
          <w:rFonts w:hint="eastAsia" w:ascii="楷体" w:hAnsi="楷体" w:eastAsia="楷体" w:cs="楷体"/>
          <w:bCs/>
          <w:kern w:val="44"/>
          <w:sz w:val="32"/>
          <w:szCs w:val="32"/>
          <w:highlight w:val="none"/>
          <w:lang w:val="en-US" w:eastAsia="zh-CN"/>
        </w:rPr>
        <w:t>预算共安排项目支出</w:t>
      </w:r>
      <w:r>
        <w:rPr>
          <w:rFonts w:hint="eastAsia" w:ascii="仿宋_GB2312"/>
          <w:bCs/>
          <w:kern w:val="44"/>
          <w:sz w:val="32"/>
          <w:szCs w:val="32"/>
          <w:highlight w:val="none"/>
          <w:u w:val="single"/>
          <w:lang w:val="en-US" w:eastAsia="zh-CN"/>
        </w:rPr>
        <w:t>8319</w:t>
      </w:r>
      <w:r>
        <w:rPr>
          <w:rFonts w:hint="eastAsia" w:ascii="楷体" w:hAnsi="楷体" w:eastAsia="楷体" w:cs="楷体"/>
          <w:bCs/>
          <w:kern w:val="44"/>
          <w:sz w:val="32"/>
          <w:szCs w:val="32"/>
          <w:highlight w:val="none"/>
          <w:lang w:val="en-US" w:eastAsia="zh-CN"/>
        </w:rPr>
        <w:t>万元，</w:t>
      </w:r>
      <w:r>
        <w:rPr>
          <w:rFonts w:hint="eastAsia"/>
          <w:lang w:val="en-US" w:eastAsia="zh-CN"/>
        </w:rPr>
        <w:t>比上年增加3056万元，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58.07</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_GB2312" w:eastAsia="仿宋_GB2312"/>
          <w:bCs/>
          <w:kern w:val="44"/>
          <w:sz w:val="32"/>
          <w:szCs w:val="32"/>
          <w:highlight w:val="none"/>
          <w:lang w:val="en-US" w:eastAsia="zh-CN"/>
        </w:rPr>
        <w:t>增加原因主要是：</w:t>
      </w:r>
      <w:r>
        <w:rPr>
          <w:rFonts w:hint="eastAsia" w:ascii="仿宋_GB2312" w:eastAsia="仿宋_GB2312"/>
          <w:bCs/>
          <w:kern w:val="44"/>
          <w:sz w:val="32"/>
          <w:szCs w:val="32"/>
          <w:highlight w:val="none"/>
        </w:rPr>
        <w:t>是</w:t>
      </w:r>
      <w:r>
        <w:rPr>
          <w:rFonts w:hint="eastAsia" w:ascii="仿宋_GB2312"/>
          <w:bCs/>
          <w:kern w:val="44"/>
          <w:sz w:val="32"/>
          <w:szCs w:val="32"/>
          <w:highlight w:val="none"/>
          <w:lang w:val="en-US" w:eastAsia="zh-CN"/>
        </w:rPr>
        <w:t>本年新增公立医院改革补助经费3200万元、重点专科建设发展经费300万元，减少免费无创产前基因检测经费和生育托育奖励经费448万元等</w:t>
      </w:r>
      <w:r>
        <w:rPr>
          <w:rFonts w:hint="eastAsia" w:ascii="楷体" w:hAnsi="楷体" w:eastAsia="楷体" w:cs="楷体"/>
          <w:bCs/>
          <w:kern w:val="44"/>
          <w:sz w:val="32"/>
          <w:szCs w:val="32"/>
          <w:highlight w:val="none"/>
          <w:lang w:val="en-US" w:eastAsia="zh-CN"/>
        </w:rPr>
        <w:t>。</w:t>
      </w:r>
      <w:r>
        <w:rPr>
          <w:rFonts w:hint="eastAsia" w:ascii="仿宋_GB2312" w:eastAsia="仿宋_GB2312"/>
          <w:bCs/>
          <w:kern w:val="44"/>
          <w:sz w:val="32"/>
          <w:szCs w:val="32"/>
          <w:highlight w:val="none"/>
          <w:lang w:val="en-US" w:eastAsia="zh-CN"/>
        </w:rPr>
        <w:t>主要包括：本年财政拨款安排</w:t>
      </w:r>
      <w:r>
        <w:rPr>
          <w:rFonts w:hint="eastAsia" w:ascii="仿宋_GB2312"/>
          <w:bCs/>
          <w:kern w:val="44"/>
          <w:sz w:val="32"/>
          <w:szCs w:val="32"/>
          <w:highlight w:val="none"/>
          <w:u w:val="single"/>
          <w:lang w:val="en-US" w:eastAsia="zh-CN"/>
        </w:rPr>
        <w:t>8319</w:t>
      </w:r>
      <w:r>
        <w:rPr>
          <w:rFonts w:hint="eastAsia" w:ascii="仿宋_GB2312" w:eastAsia="仿宋_GB2312"/>
          <w:bCs/>
          <w:kern w:val="44"/>
          <w:sz w:val="32"/>
          <w:szCs w:val="32"/>
          <w:highlight w:val="none"/>
          <w:lang w:val="en-US" w:eastAsia="zh-CN"/>
        </w:rPr>
        <w:t>万元（其中，一般公共预算拨款安排</w:t>
      </w:r>
      <w:r>
        <w:rPr>
          <w:rFonts w:hint="eastAsia" w:ascii="仿宋_GB2312"/>
          <w:bCs/>
          <w:kern w:val="44"/>
          <w:sz w:val="32"/>
          <w:szCs w:val="32"/>
          <w:highlight w:val="none"/>
          <w:u w:val="single"/>
          <w:lang w:val="en-US" w:eastAsia="zh-CN"/>
        </w:rPr>
        <w:t>8319</w:t>
      </w:r>
      <w:r>
        <w:rPr>
          <w:rFonts w:hint="eastAsia" w:ascii="仿宋_GB2312" w:eastAsia="仿宋_GB2312"/>
          <w:bCs/>
          <w:kern w:val="44"/>
          <w:sz w:val="32"/>
          <w:szCs w:val="32"/>
          <w:highlight w:val="none"/>
          <w:lang w:val="en-US" w:eastAsia="zh-CN"/>
        </w:rPr>
        <w:t>万元）。</w:t>
      </w:r>
    </w:p>
    <w:p>
      <w:pPr>
        <w:ind w:firstLine="640"/>
        <w:jc w:val="both"/>
        <w:rPr>
          <w:rFonts w:hint="eastAsia" w:ascii="仿宋_GB2312"/>
          <w:b w:val="0"/>
          <w:bCs w:val="0"/>
          <w:color w:val="000000"/>
          <w:sz w:val="32"/>
          <w:szCs w:val="32"/>
          <w:highlight w:val="none"/>
          <w:lang w:val="en-US" w:eastAsia="zh-CN"/>
        </w:rPr>
      </w:pPr>
      <w:r>
        <w:rPr>
          <w:rFonts w:hint="eastAsia" w:ascii="仿宋_GB2312"/>
          <w:b w:val="0"/>
          <w:bCs w:val="0"/>
          <w:color w:val="000000"/>
          <w:sz w:val="32"/>
          <w:szCs w:val="32"/>
          <w:highlight w:val="none"/>
          <w:lang w:val="en-US" w:eastAsia="zh-CN"/>
        </w:rPr>
        <w:t>项目包括：</w:t>
      </w:r>
    </w:p>
    <w:p>
      <w:pPr>
        <w:ind w:firstLine="640"/>
        <w:jc w:val="both"/>
        <w:rPr>
          <w:rFonts w:hint="eastAsia" w:ascii="仿宋_GB2312"/>
          <w:bCs/>
          <w:kern w:val="44"/>
          <w:sz w:val="32"/>
          <w:szCs w:val="32"/>
          <w:highlight w:val="none"/>
          <w:lang w:eastAsia="zh-CN"/>
        </w:rPr>
      </w:pPr>
      <w:r>
        <w:rPr>
          <w:rFonts w:hint="eastAsia" w:ascii="仿宋_GB2312"/>
          <w:b w:val="0"/>
          <w:bCs w:val="0"/>
          <w:color w:val="000000"/>
          <w:sz w:val="32"/>
          <w:szCs w:val="32"/>
          <w:highlight w:val="none"/>
          <w:lang w:val="en-US" w:eastAsia="zh-CN"/>
        </w:rPr>
        <w:t>1、实施国家基本药物制度补助资金项目。预算经费</w:t>
      </w:r>
      <w:r>
        <w:rPr>
          <w:rFonts w:hint="eastAsia" w:ascii="仿宋_GB2312"/>
          <w:b w:val="0"/>
          <w:bCs w:val="0"/>
          <w:kern w:val="44"/>
          <w:sz w:val="32"/>
          <w:szCs w:val="32"/>
          <w:highlight w:val="none"/>
          <w:u w:val="single"/>
          <w:lang w:val="en-US" w:eastAsia="zh-CN"/>
        </w:rPr>
        <w:t>200</w:t>
      </w:r>
      <w:r>
        <w:rPr>
          <w:rFonts w:hint="eastAsia" w:ascii="仿宋_GB2312" w:eastAsia="仿宋_GB2312"/>
          <w:bCs/>
          <w:kern w:val="44"/>
          <w:sz w:val="32"/>
          <w:szCs w:val="32"/>
          <w:highlight w:val="none"/>
          <w:lang w:val="en-US" w:eastAsia="zh-CN"/>
        </w:rPr>
        <w:t>万元</w:t>
      </w:r>
      <w:r>
        <w:rPr>
          <w:rFonts w:hint="eastAsia" w:ascii="仿宋_GB2312"/>
          <w:bCs/>
          <w:kern w:val="44"/>
          <w:sz w:val="32"/>
          <w:szCs w:val="32"/>
          <w:highlight w:val="none"/>
          <w:lang w:val="en-US" w:eastAsia="zh-CN"/>
        </w:rPr>
        <w:t>，比上年</w:t>
      </w:r>
      <w:r>
        <w:rPr>
          <w:rFonts w:hint="eastAsia"/>
          <w:lang w:val="en-US" w:eastAsia="zh-CN"/>
        </w:rPr>
        <w:t>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bCs/>
          <w:kern w:val="44"/>
          <w:sz w:val="32"/>
          <w:szCs w:val="32"/>
          <w:highlight w:val="none"/>
          <w:lang w:val="en-US" w:eastAsia="zh-CN"/>
        </w:rPr>
        <w:t>主要用于</w:t>
      </w:r>
      <w:r>
        <w:rPr>
          <w:rFonts w:hint="eastAsia" w:ascii="仿宋" w:hAnsi="仿宋" w:eastAsia="仿宋" w:cs="仿宋"/>
          <w:color w:val="000000"/>
          <w:sz w:val="32"/>
          <w:szCs w:val="32"/>
          <w:u w:val="none"/>
          <w:shd w:val="clear" w:color="auto" w:fill="FFFFFF"/>
        </w:rPr>
        <w:t>保障基层</w:t>
      </w:r>
      <w:r>
        <w:rPr>
          <w:rFonts w:hint="eastAsia" w:ascii="仿宋" w:hAnsi="仿宋" w:eastAsia="仿宋" w:cs="仿宋"/>
          <w:color w:val="000000"/>
          <w:sz w:val="32"/>
          <w:szCs w:val="32"/>
          <w:u w:val="none"/>
          <w:shd w:val="clear" w:color="auto" w:fill="FFFFFF"/>
          <w:lang w:eastAsia="zh-CN"/>
        </w:rPr>
        <w:t>医疗机构</w:t>
      </w:r>
      <w:r>
        <w:rPr>
          <w:rFonts w:hint="eastAsia" w:ascii="仿宋" w:hAnsi="仿宋" w:eastAsia="仿宋" w:cs="仿宋"/>
          <w:color w:val="000000"/>
          <w:sz w:val="32"/>
          <w:szCs w:val="32"/>
          <w:u w:val="none"/>
          <w:shd w:val="clear" w:color="auto" w:fill="FFFFFF"/>
        </w:rPr>
        <w:t>运转，人员支出</w:t>
      </w:r>
      <w:r>
        <w:rPr>
          <w:rFonts w:hint="eastAsia" w:ascii="仿宋_GB2312"/>
          <w:bCs/>
          <w:kern w:val="44"/>
          <w:sz w:val="32"/>
          <w:szCs w:val="32"/>
          <w:highlight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 w:val="0"/>
          <w:bCs w:val="0"/>
          <w:color w:val="000000"/>
          <w:sz w:val="32"/>
          <w:szCs w:val="32"/>
          <w:highlight w:val="none"/>
          <w:lang w:val="en-US" w:eastAsia="zh-CN"/>
        </w:rPr>
        <w:t>重点专科建设发展经费项目。预算经费</w:t>
      </w:r>
      <w:r>
        <w:rPr>
          <w:rFonts w:hint="eastAsia" w:ascii="仿宋_GB2312"/>
          <w:b w:val="0"/>
          <w:bCs w:val="0"/>
          <w:kern w:val="44"/>
          <w:sz w:val="32"/>
          <w:szCs w:val="32"/>
          <w:highlight w:val="none"/>
          <w:u w:val="single"/>
          <w:lang w:val="en-US" w:eastAsia="zh-CN"/>
        </w:rPr>
        <w:t>300</w:t>
      </w:r>
      <w:r>
        <w:rPr>
          <w:rFonts w:hint="eastAsia" w:ascii="仿宋_GB2312" w:eastAsia="仿宋_GB2312"/>
          <w:bCs/>
          <w:kern w:val="44"/>
          <w:sz w:val="32"/>
          <w:szCs w:val="32"/>
          <w:highlight w:val="none"/>
          <w:lang w:val="en-US" w:eastAsia="zh-CN"/>
        </w:rPr>
        <w:t>万元</w:t>
      </w:r>
      <w:r>
        <w:rPr>
          <w:rFonts w:hint="eastAsia" w:ascii="仿宋_GB2312"/>
          <w:bCs/>
          <w:kern w:val="44"/>
          <w:sz w:val="32"/>
          <w:szCs w:val="32"/>
          <w:highlight w:val="none"/>
          <w:lang w:val="en-US" w:eastAsia="zh-CN"/>
        </w:rPr>
        <w:t>，比上年</w:t>
      </w:r>
      <w:r>
        <w:rPr>
          <w:rFonts w:hint="eastAsia"/>
          <w:lang w:val="en-US" w:eastAsia="zh-CN"/>
        </w:rPr>
        <w:t>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300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100</w:t>
      </w:r>
      <w:r>
        <w:rPr>
          <w:rFonts w:hint="eastAsia" w:ascii="仿宋_GB2312" w:eastAsia="仿宋_GB2312"/>
          <w:bCs/>
          <w:kern w:val="44"/>
          <w:sz w:val="32"/>
          <w:szCs w:val="32"/>
          <w:highlight w:val="none"/>
        </w:rPr>
        <w:t>%。</w:t>
      </w:r>
      <w:r>
        <w:rPr>
          <w:rFonts w:hint="eastAsia" w:ascii="仿宋_GB2312"/>
          <w:bCs/>
          <w:kern w:val="44"/>
          <w:sz w:val="32"/>
          <w:szCs w:val="32"/>
          <w:highlight w:val="none"/>
          <w:lang w:val="en-US" w:eastAsia="zh-CN"/>
        </w:rPr>
        <w:t>主要用于</w:t>
      </w:r>
      <w:r>
        <w:rPr>
          <w:rFonts w:hint="eastAsia" w:ascii="仿宋_GB2312" w:eastAsia="仿宋_GB2312"/>
          <w:bCs/>
          <w:kern w:val="44"/>
          <w:sz w:val="32"/>
          <w:szCs w:val="32"/>
          <w:highlight w:val="none"/>
        </w:rPr>
        <w:t>深入推进计生转型发展，重点保障计生两扶、监督执法、住院护理险、计生助你行等工作；为身份不明或无力支付费用的急危重伤病患者得到及时救助、有效的救助。保障职称评审等工作正常开展</w:t>
      </w:r>
      <w:r>
        <w:rPr>
          <w:rFonts w:hint="eastAsia" w:ascii="仿宋_GB2312"/>
          <w:bCs/>
          <w:kern w:val="44"/>
          <w:sz w:val="32"/>
          <w:szCs w:val="32"/>
          <w:highlight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黄石市医疗纠纷人民调解委员会工作经费项目。</w:t>
      </w:r>
      <w:r>
        <w:rPr>
          <w:rFonts w:hint="eastAsia" w:ascii="仿宋" w:hAnsi="仿宋" w:eastAsia="仿宋"/>
          <w:sz w:val="32"/>
          <w:szCs w:val="32"/>
          <w:u w:val="none"/>
          <w:lang w:val="en-US" w:eastAsia="zh-CN"/>
        </w:rPr>
        <w:t>预算经费25万元，比上年预算</w:t>
      </w:r>
      <w:r>
        <w:rPr>
          <w:rFonts w:hint="eastAsia" w:ascii="仿宋" w:hAnsi="仿宋" w:eastAsia="仿宋"/>
          <w:sz w:val="32"/>
          <w:szCs w:val="32"/>
          <w:u w:val="none"/>
        </w:rPr>
        <w:t>增加</w:t>
      </w:r>
      <w:r>
        <w:rPr>
          <w:rFonts w:hint="eastAsia" w:ascii="仿宋" w:hAnsi="仿宋" w:eastAsia="仿宋"/>
          <w:sz w:val="32"/>
          <w:szCs w:val="32"/>
          <w:u w:val="none"/>
          <w:lang w:val="en-US" w:eastAsia="zh-CN"/>
        </w:rPr>
        <w:t>0</w:t>
      </w:r>
      <w:r>
        <w:rPr>
          <w:rFonts w:hint="eastAsia" w:ascii="仿宋" w:hAnsi="仿宋" w:eastAsia="仿宋"/>
          <w:sz w:val="32"/>
          <w:szCs w:val="32"/>
          <w:u w:val="none"/>
        </w:rPr>
        <w:t>万元，增长</w:t>
      </w:r>
      <w:r>
        <w:rPr>
          <w:rFonts w:hint="eastAsia" w:ascii="仿宋" w:hAnsi="仿宋" w:eastAsia="仿宋"/>
          <w:sz w:val="32"/>
          <w:szCs w:val="32"/>
          <w:u w:val="none"/>
          <w:lang w:val="en-US" w:eastAsia="zh-CN"/>
        </w:rPr>
        <w:t>0</w:t>
      </w:r>
      <w:r>
        <w:rPr>
          <w:rFonts w:hint="eastAsia" w:ascii="仿宋" w:hAnsi="仿宋" w:eastAsia="仿宋"/>
          <w:sz w:val="32"/>
          <w:szCs w:val="32"/>
          <w:u w:val="none"/>
        </w:rPr>
        <w:t>%。</w:t>
      </w:r>
      <w:r>
        <w:rPr>
          <w:rFonts w:hint="eastAsia" w:ascii="仿宋" w:hAnsi="仿宋" w:eastAsia="仿宋"/>
          <w:sz w:val="32"/>
          <w:szCs w:val="32"/>
          <w:u w:val="none"/>
          <w:lang w:val="en-US" w:eastAsia="zh-CN"/>
        </w:rPr>
        <w:t>主要用于市医疗纠纷人民调解委员会的工作经费。</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城镇独生子女年老父母计划生育奖励项目。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1000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ascii="仿宋" w:hAnsi="仿宋" w:eastAsia="仿宋"/>
          <w:sz w:val="32"/>
          <w:szCs w:val="32"/>
          <w:u w:val="none"/>
        </w:rPr>
        <w:t>落实计划生育基本国策，稳定低生育水平投入保障措施；支持计划生育工作，促进人口长期均衡发展</w:t>
      </w:r>
      <w:r>
        <w:rPr>
          <w:rFonts w:hint="eastAsia" w:ascii="仿宋_GB2312"/>
          <w:bCs/>
          <w:kern w:val="44"/>
          <w:sz w:val="32"/>
          <w:szCs w:val="32"/>
          <w:highlight w:val="none"/>
          <w:u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公立医院改革补助经费项目。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3200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3200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_GB2312"/>
          <w:bCs/>
          <w:kern w:val="44"/>
          <w:sz w:val="32"/>
          <w:szCs w:val="32"/>
          <w:highlight w:val="none"/>
          <w:lang w:eastAsia="zh-CN"/>
        </w:rPr>
        <w:t>深化公立医院综合改革，建立健全现代医院管理制度，协调推进医疗价格、人事薪酬、药品流通，医保支付，提高医疗卫生服务质量。</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基本公共卫生服务经费项目。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100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实现基本公共卫生服务均等化，目标是保障城乡居民获得最基本、最有效的基本公共卫生服务，缩小城乡居民基本公共卫生服务的差距，使大家都能享受到基本公共卫生服务，最终使老百姓不得病、少得病、晚得病、不得大病。</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人口健康发展补助经费项目。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400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bCs/>
          <w:kern w:val="44"/>
          <w:sz w:val="32"/>
          <w:szCs w:val="32"/>
          <w:highlight w:val="none"/>
          <w:u w:val="none"/>
          <w:lang w:eastAsia="zh-CN"/>
        </w:rPr>
        <w:t>减少</w:t>
      </w:r>
      <w:r>
        <w:rPr>
          <w:rFonts w:hint="eastAsia" w:ascii="仿宋_GB2312"/>
          <w:bCs/>
          <w:kern w:val="44"/>
          <w:sz w:val="32"/>
          <w:szCs w:val="32"/>
          <w:highlight w:val="none"/>
          <w:u w:val="none"/>
          <w:lang w:val="en-US" w:eastAsia="zh-CN"/>
        </w:rPr>
        <w:t>478</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eastAsia="zh-CN"/>
        </w:rPr>
        <w:t>下降</w:t>
      </w:r>
      <w:r>
        <w:rPr>
          <w:rFonts w:hint="eastAsia" w:ascii="仿宋_GB2312"/>
          <w:bCs/>
          <w:kern w:val="44"/>
          <w:sz w:val="32"/>
          <w:szCs w:val="32"/>
          <w:highlight w:val="none"/>
          <w:u w:val="none"/>
          <w:lang w:val="en-US" w:eastAsia="zh-CN"/>
        </w:rPr>
        <w:t>119.5</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eastAsia="zh-CN"/>
        </w:rPr>
        <w:t>主要用于</w:t>
      </w:r>
      <w:r>
        <w:rPr>
          <w:rFonts w:hint="eastAsia" w:ascii="仿宋_GB2312"/>
          <w:bCs/>
          <w:kern w:val="44"/>
          <w:sz w:val="32"/>
          <w:szCs w:val="32"/>
          <w:highlight w:val="none"/>
          <w:lang w:eastAsia="zh-CN"/>
        </w:rPr>
        <w:t>生育托育奖励和免费无创产前基因检测。</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医疗机构取消药品加成财政专项补助经费项目。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2017</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27</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1.36</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sz w:val="32"/>
          <w:szCs w:val="32"/>
          <w:u w:val="none"/>
        </w:rPr>
        <w:t>公立医院落实医改目标，保障</w:t>
      </w:r>
      <w:r>
        <w:rPr>
          <w:rFonts w:hint="eastAsia" w:ascii="仿宋" w:hAnsi="仿宋" w:eastAsia="仿宋"/>
          <w:sz w:val="32"/>
          <w:szCs w:val="32"/>
          <w:u w:val="none"/>
          <w:lang w:eastAsia="zh-CN"/>
        </w:rPr>
        <w:t>医疗机构</w:t>
      </w:r>
      <w:r>
        <w:rPr>
          <w:rFonts w:hint="eastAsia" w:ascii="仿宋" w:hAnsi="仿宋" w:eastAsia="仿宋"/>
          <w:sz w:val="32"/>
          <w:szCs w:val="32"/>
          <w:u w:val="none"/>
        </w:rPr>
        <w:t>运行</w:t>
      </w:r>
      <w:r>
        <w:rPr>
          <w:rFonts w:hint="eastAsia" w:ascii="仿宋_GB2312"/>
          <w:bCs/>
          <w:kern w:val="44"/>
          <w:sz w:val="32"/>
          <w:szCs w:val="32"/>
          <w:highlight w:val="none"/>
          <w:u w:val="none"/>
          <w:lang w:eastAsia="zh-CN"/>
        </w:rPr>
        <w:t>。</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血防经费项目。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40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bCs/>
          <w:kern w:val="44"/>
          <w:sz w:val="32"/>
          <w:szCs w:val="32"/>
          <w:highlight w:val="none"/>
          <w:u w:val="none"/>
          <w:lang w:eastAsia="zh-CN"/>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w:t>
      </w:r>
      <w:r>
        <w:rPr>
          <w:rFonts w:hint="eastAsia" w:ascii="仿宋_GB2312"/>
          <w:bCs/>
          <w:kern w:val="44"/>
          <w:sz w:val="32"/>
          <w:szCs w:val="32"/>
          <w:highlight w:val="none"/>
          <w:u w:val="none"/>
          <w:lang w:eastAsia="zh-CN"/>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sz w:val="32"/>
          <w:szCs w:val="32"/>
          <w:u w:val="none"/>
        </w:rPr>
        <w:t>各城区查螺、灭螺，查病、治病，小型灭螺工程和健康教育等</w:t>
      </w:r>
      <w:r>
        <w:rPr>
          <w:rFonts w:hint="eastAsia" w:ascii="仿宋" w:hAnsi="仿宋" w:eastAsia="仿宋"/>
          <w:sz w:val="32"/>
          <w:szCs w:val="32"/>
          <w:u w:val="none"/>
          <w:lang w:eastAsia="zh-CN"/>
        </w:rPr>
        <w:t>，</w:t>
      </w:r>
      <w:r>
        <w:rPr>
          <w:rFonts w:hint="eastAsia" w:ascii="仿宋" w:hAnsi="仿宋" w:eastAsia="仿宋"/>
          <w:sz w:val="32"/>
          <w:szCs w:val="32"/>
          <w:u w:val="none"/>
        </w:rPr>
        <w:t>购买灭螺药品、血防宣传教育、防护器具、血防能力建设、日常公用支出等。</w:t>
      </w:r>
    </w:p>
    <w:p>
      <w:pPr>
        <w:numPr>
          <w:ilvl w:val="0"/>
          <w:numId w:val="1"/>
        </w:numPr>
        <w:ind w:firstLine="640"/>
        <w:jc w:val="both"/>
        <w:rPr>
          <w:rFonts w:hint="eastAsia" w:ascii="仿宋_GB2312"/>
          <w:bCs/>
          <w:kern w:val="44"/>
          <w:sz w:val="32"/>
          <w:szCs w:val="32"/>
          <w:highlight w:val="none"/>
          <w:lang w:eastAsia="zh-CN"/>
        </w:rPr>
      </w:pPr>
      <w:r>
        <w:rPr>
          <w:rFonts w:hint="eastAsia" w:ascii="仿宋_GB2312"/>
          <w:bCs/>
          <w:kern w:val="44"/>
          <w:sz w:val="32"/>
          <w:szCs w:val="32"/>
          <w:highlight w:val="none"/>
          <w:lang w:eastAsia="zh-CN"/>
        </w:rPr>
        <w:t>应急物资储备库房租项目。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50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sz w:val="32"/>
          <w:szCs w:val="32"/>
          <w:u w:val="none"/>
          <w:lang w:val="en-US" w:eastAsia="zh-CN"/>
        </w:rPr>
        <w:t>支付租用的国药（黄石）公司医疗应急物资储备仓库的年租金。</w:t>
      </w:r>
    </w:p>
    <w:p>
      <w:pPr>
        <w:numPr>
          <w:ilvl w:val="0"/>
          <w:numId w:val="1"/>
        </w:numPr>
        <w:ind w:firstLine="640"/>
        <w:jc w:val="both"/>
        <w:rPr>
          <w:rFonts w:hint="eastAsia" w:ascii="仿宋" w:hAnsi="仿宋" w:eastAsia="仿宋"/>
          <w:sz w:val="32"/>
          <w:szCs w:val="32"/>
          <w:u w:val="none"/>
          <w:lang w:eastAsia="zh-CN"/>
        </w:rPr>
      </w:pPr>
      <w:r>
        <w:rPr>
          <w:rFonts w:hint="eastAsia" w:ascii="仿宋_GB2312"/>
          <w:bCs/>
          <w:kern w:val="44"/>
          <w:sz w:val="32"/>
          <w:szCs w:val="32"/>
          <w:highlight w:val="none"/>
          <w:lang w:eastAsia="zh-CN"/>
        </w:rPr>
        <w:t>卫生健康管理服务经费项目。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430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主要用于深入推进计生转型发展，重点保障计生两扶、监督执法、住院护理险、计生助你行等工作；保障职称评审等工作正常开展。</w:t>
      </w:r>
    </w:p>
    <w:p>
      <w:pPr>
        <w:numPr>
          <w:ilvl w:val="0"/>
          <w:numId w:val="1"/>
        </w:numPr>
        <w:ind w:firstLine="640"/>
        <w:jc w:val="both"/>
        <w:rPr>
          <w:rFonts w:ascii="仿宋_GB2312"/>
          <w:bCs/>
          <w:kern w:val="44"/>
          <w:szCs w:val="32"/>
        </w:rPr>
      </w:pPr>
      <w:r>
        <w:rPr>
          <w:rFonts w:hint="eastAsia" w:ascii="仿宋_GB2312"/>
          <w:bCs/>
          <w:kern w:val="44"/>
          <w:sz w:val="32"/>
          <w:szCs w:val="32"/>
          <w:highlight w:val="none"/>
          <w:lang w:eastAsia="zh-CN"/>
        </w:rPr>
        <w:t>黄石市干部保健工作经费项目。</w:t>
      </w:r>
      <w:r>
        <w:rPr>
          <w:rFonts w:hint="eastAsia" w:ascii="仿宋_GB2312"/>
          <w:b w:val="0"/>
          <w:bCs w:val="0"/>
          <w:color w:val="000000"/>
          <w:sz w:val="32"/>
          <w:szCs w:val="32"/>
          <w:highlight w:val="none"/>
          <w:u w:val="none"/>
          <w:lang w:val="en-US" w:eastAsia="zh-CN"/>
        </w:rPr>
        <w:t>预算经费</w:t>
      </w:r>
      <w:r>
        <w:rPr>
          <w:rFonts w:hint="eastAsia" w:ascii="仿宋_GB2312"/>
          <w:b w:val="0"/>
          <w:bCs w:val="0"/>
          <w:kern w:val="44"/>
          <w:sz w:val="32"/>
          <w:szCs w:val="32"/>
          <w:highlight w:val="none"/>
          <w:u w:val="none"/>
          <w:lang w:val="en-US" w:eastAsia="zh-CN"/>
        </w:rPr>
        <w:t>30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，比上年</w:t>
      </w:r>
      <w:r>
        <w:rPr>
          <w:rFonts w:hint="eastAsia"/>
          <w:u w:val="none"/>
          <w:lang w:val="en-US" w:eastAsia="zh-CN"/>
        </w:rPr>
        <w:t>预算</w:t>
      </w:r>
      <w:r>
        <w:rPr>
          <w:rFonts w:hint="eastAsia" w:ascii="仿宋_GB2312" w:eastAsia="仿宋_GB2312"/>
          <w:bCs/>
          <w:kern w:val="44"/>
          <w:sz w:val="32"/>
          <w:szCs w:val="32"/>
          <w:highlight w:val="none"/>
          <w:u w:val="none"/>
        </w:rPr>
        <w:t>增加</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 w:hAnsi="仿宋" w:eastAsia="仿宋" w:cs="仿宋"/>
          <w:bCs/>
          <w:sz w:val="32"/>
          <w:szCs w:val="32"/>
          <w:u w:val="none"/>
        </w:rPr>
        <w:t>上级领导在黄的医疗保健工作</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市委保健委员会确定的保健对象的医疗保健工作</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高级外宾、高级专家在黄的医疗安排</w:t>
      </w:r>
      <w:r>
        <w:rPr>
          <w:rFonts w:hint="eastAsia" w:ascii="仿宋" w:hAnsi="仿宋" w:eastAsia="仿宋" w:cs="仿宋"/>
          <w:bCs/>
          <w:sz w:val="32"/>
          <w:szCs w:val="32"/>
          <w:u w:val="none"/>
          <w:lang w:eastAsia="zh-CN"/>
        </w:rPr>
        <w:t>、</w:t>
      </w:r>
      <w:r>
        <w:rPr>
          <w:rFonts w:hint="eastAsia" w:ascii="仿宋" w:hAnsi="仿宋" w:eastAsia="仿宋" w:cs="仿宋"/>
          <w:bCs/>
          <w:sz w:val="32"/>
          <w:szCs w:val="32"/>
          <w:u w:val="none"/>
        </w:rPr>
        <w:t>全市重大会议和重大活动的医疗卫</w:t>
      </w:r>
      <w:r>
        <w:rPr>
          <w:rFonts w:hint="eastAsia" w:ascii="仿宋" w:hAnsi="仿宋" w:eastAsia="仿宋"/>
          <w:sz w:val="32"/>
          <w:szCs w:val="32"/>
          <w:u w:val="none"/>
        </w:rPr>
        <w:t>生保障工作</w:t>
      </w:r>
      <w:r>
        <w:rPr>
          <w:rFonts w:hint="eastAsia" w:ascii="仿宋" w:hAnsi="仿宋" w:eastAsia="仿宋"/>
          <w:sz w:val="32"/>
          <w:szCs w:val="32"/>
          <w:u w:val="none"/>
          <w:lang w:eastAsia="zh-CN"/>
        </w:rPr>
        <w:t>。</w:t>
      </w:r>
    </w:p>
    <w:p>
      <w:pPr>
        <w:numPr>
          <w:ilvl w:val="0"/>
          <w:numId w:val="1"/>
        </w:numPr>
        <w:ind w:firstLine="640"/>
        <w:jc w:val="both"/>
        <w:rPr>
          <w:rFonts w:ascii="仿宋_GB2312"/>
          <w:bCs/>
          <w:kern w:val="44"/>
          <w:szCs w:val="32"/>
        </w:rPr>
      </w:pPr>
      <w:r>
        <w:rPr>
          <w:rFonts w:hint="eastAsia" w:ascii="仿宋_GB2312"/>
          <w:color w:val="000000"/>
          <w:szCs w:val="32"/>
        </w:rPr>
        <w:t>艾滋病防治项目。预算经费</w:t>
      </w:r>
      <w:r>
        <w:rPr>
          <w:rFonts w:hint="eastAsia" w:ascii="仿宋_GB2312"/>
          <w:kern w:val="44"/>
          <w:szCs w:val="32"/>
          <w:u w:val="single"/>
        </w:rPr>
        <w:t xml:space="preserve">   </w:t>
      </w:r>
      <w:r>
        <w:rPr>
          <w:rFonts w:ascii="仿宋_GB2312"/>
          <w:kern w:val="44"/>
          <w:szCs w:val="32"/>
          <w:u w:val="single"/>
        </w:rPr>
        <w:t>32</w:t>
      </w:r>
      <w:r>
        <w:rPr>
          <w:rFonts w:hint="eastAsia" w:ascii="仿宋_GB2312"/>
          <w:bCs/>
          <w:kern w:val="44"/>
          <w:szCs w:val="32"/>
          <w:u w:val="single"/>
        </w:rPr>
        <w:t xml:space="preserve"> </w:t>
      </w:r>
      <w:r>
        <w:rPr>
          <w:rFonts w:hint="eastAsia" w:ascii="仿宋_GB2312"/>
          <w:bCs/>
          <w:kern w:val="44"/>
          <w:szCs w:val="32"/>
        </w:rPr>
        <w:t>万元，比上年</w:t>
      </w:r>
      <w:r>
        <w:rPr>
          <w:rFonts w:hint="eastAsia"/>
        </w:rPr>
        <w:t>预算</w:t>
      </w:r>
      <w:r>
        <w:rPr>
          <w:rFonts w:hint="eastAsia" w:ascii="仿宋_GB2312"/>
          <w:bCs/>
          <w:kern w:val="44"/>
          <w:szCs w:val="32"/>
        </w:rPr>
        <w:t>增加</w:t>
      </w:r>
      <w:r>
        <w:rPr>
          <w:rFonts w:hint="eastAsia" w:ascii="仿宋_GB2312"/>
          <w:bCs/>
          <w:kern w:val="44"/>
          <w:szCs w:val="32"/>
          <w:u w:val="single"/>
        </w:rPr>
        <w:t xml:space="preserve">  </w:t>
      </w:r>
      <w:r>
        <w:rPr>
          <w:rFonts w:ascii="仿宋_GB2312"/>
          <w:bCs/>
          <w:kern w:val="44"/>
          <w:szCs w:val="32"/>
          <w:u w:val="single"/>
        </w:rPr>
        <w:t>0</w:t>
      </w:r>
      <w:r>
        <w:rPr>
          <w:rFonts w:hint="eastAsia" w:ascii="仿宋_GB2312"/>
          <w:bCs/>
          <w:kern w:val="44"/>
          <w:szCs w:val="32"/>
          <w:u w:val="single"/>
        </w:rPr>
        <w:t xml:space="preserve"> </w:t>
      </w:r>
      <w:r>
        <w:rPr>
          <w:rFonts w:hint="eastAsia" w:ascii="仿宋_GB2312"/>
          <w:bCs/>
          <w:kern w:val="44"/>
          <w:szCs w:val="32"/>
        </w:rPr>
        <w:t>万元，增长</w:t>
      </w:r>
      <w:r>
        <w:rPr>
          <w:rFonts w:hint="eastAsia" w:ascii="仿宋_GB2312"/>
          <w:bCs/>
          <w:kern w:val="44"/>
          <w:szCs w:val="32"/>
          <w:u w:val="single"/>
        </w:rPr>
        <w:t xml:space="preserve">   </w:t>
      </w:r>
      <w:r>
        <w:rPr>
          <w:rFonts w:ascii="仿宋_GB2312"/>
          <w:bCs/>
          <w:kern w:val="44"/>
          <w:szCs w:val="32"/>
          <w:u w:val="single"/>
        </w:rPr>
        <w:t>0</w:t>
      </w:r>
      <w:r>
        <w:rPr>
          <w:rFonts w:hint="eastAsia" w:ascii="仿宋_GB2312"/>
          <w:bCs/>
          <w:kern w:val="44"/>
          <w:szCs w:val="32"/>
          <w:u w:val="single"/>
        </w:rPr>
        <w:t xml:space="preserve">  </w:t>
      </w:r>
      <w:r>
        <w:rPr>
          <w:rFonts w:hint="eastAsia" w:ascii="仿宋_GB2312"/>
          <w:bCs/>
          <w:kern w:val="44"/>
          <w:szCs w:val="32"/>
        </w:rPr>
        <w:t>%。主要用于一是完成对全市各医疗机构送检HIV初筛阳性样本的复检及确证实验，送检样本检测率为100%；二是全市存活HIV阳性病人病毒载量、CD4随访检测比例、未检测配偶或单阳配偶HIV搞体检测比例均不低于90%；三是艾滋病商情报告质量、首次流调质量、病例核查报告质量符合率95%，HIV/AIDS死亡原因填报率100%；四是全市符合条件的感染者和病人抗病毒治疗比例不低于90%，治疗成功率不低于95%；五是完成男性性行为者、暗娼、吸毒人群HIV抗体筛查人次数合计不少于1440人，艾滋病检测咨询不少于900人。</w:t>
      </w:r>
      <w:bookmarkStart w:id="0" w:name="_Hlk159013399"/>
    </w:p>
    <w:p>
      <w:pPr>
        <w:numPr>
          <w:ilvl w:val="0"/>
          <w:numId w:val="1"/>
        </w:numPr>
        <w:ind w:firstLine="640"/>
        <w:jc w:val="both"/>
        <w:rPr>
          <w:rFonts w:ascii="仿宋_GB2312"/>
          <w:bCs/>
          <w:kern w:val="44"/>
          <w:szCs w:val="32"/>
        </w:rPr>
      </w:pPr>
      <w:r>
        <w:rPr>
          <w:rFonts w:hint="eastAsia" w:ascii="仿宋_GB2312"/>
          <w:color w:val="000000"/>
          <w:szCs w:val="32"/>
        </w:rPr>
        <w:t>城镇居民生活饮用水日常监测项目。</w:t>
      </w:r>
      <w:bookmarkEnd w:id="0"/>
      <w:r>
        <w:rPr>
          <w:rFonts w:hint="eastAsia" w:ascii="仿宋_GB2312"/>
          <w:color w:val="000000"/>
          <w:szCs w:val="32"/>
        </w:rPr>
        <w:t>预算经费</w:t>
      </w:r>
      <w:r>
        <w:rPr>
          <w:rFonts w:hint="eastAsia" w:ascii="仿宋_GB2312"/>
          <w:kern w:val="44"/>
          <w:szCs w:val="32"/>
          <w:u w:val="single"/>
        </w:rPr>
        <w:t xml:space="preserve">  </w:t>
      </w:r>
      <w:r>
        <w:rPr>
          <w:rFonts w:ascii="仿宋_GB2312"/>
          <w:kern w:val="44"/>
          <w:szCs w:val="32"/>
          <w:u w:val="single"/>
        </w:rPr>
        <w:t>140</w:t>
      </w:r>
      <w:r>
        <w:rPr>
          <w:rFonts w:hint="eastAsia" w:ascii="仿宋_GB2312"/>
          <w:kern w:val="44"/>
          <w:szCs w:val="32"/>
          <w:u w:val="single"/>
        </w:rPr>
        <w:t xml:space="preserve"> </w:t>
      </w:r>
      <w:r>
        <w:rPr>
          <w:rFonts w:hint="eastAsia" w:ascii="仿宋_GB2312"/>
          <w:bCs/>
          <w:kern w:val="44"/>
          <w:szCs w:val="32"/>
          <w:u w:val="single"/>
        </w:rPr>
        <w:t xml:space="preserve"> </w:t>
      </w:r>
      <w:r>
        <w:rPr>
          <w:rFonts w:hint="eastAsia" w:ascii="仿宋_GB2312"/>
          <w:bCs/>
          <w:kern w:val="44"/>
          <w:szCs w:val="32"/>
        </w:rPr>
        <w:t>万元，比上年</w:t>
      </w:r>
      <w:r>
        <w:rPr>
          <w:rFonts w:hint="eastAsia"/>
        </w:rPr>
        <w:t>预算</w:t>
      </w:r>
      <w:r>
        <w:rPr>
          <w:rFonts w:hint="eastAsia" w:ascii="仿宋_GB2312"/>
          <w:bCs/>
          <w:kern w:val="44"/>
          <w:szCs w:val="32"/>
        </w:rPr>
        <w:t>增加</w:t>
      </w:r>
      <w:r>
        <w:rPr>
          <w:rFonts w:hint="eastAsia" w:ascii="仿宋_GB2312"/>
          <w:bCs/>
          <w:kern w:val="44"/>
          <w:szCs w:val="32"/>
          <w:u w:val="single"/>
        </w:rPr>
        <w:t xml:space="preserve">  </w:t>
      </w:r>
      <w:r>
        <w:rPr>
          <w:rFonts w:ascii="仿宋_GB2312"/>
          <w:bCs/>
          <w:kern w:val="44"/>
          <w:szCs w:val="32"/>
          <w:u w:val="single"/>
        </w:rPr>
        <w:t>0</w:t>
      </w:r>
      <w:r>
        <w:rPr>
          <w:rFonts w:hint="eastAsia" w:ascii="仿宋_GB2312"/>
          <w:bCs/>
          <w:kern w:val="44"/>
          <w:szCs w:val="32"/>
          <w:u w:val="single"/>
        </w:rPr>
        <w:t xml:space="preserve"> </w:t>
      </w:r>
      <w:r>
        <w:rPr>
          <w:rFonts w:hint="eastAsia" w:ascii="仿宋_GB2312"/>
          <w:bCs/>
          <w:kern w:val="44"/>
          <w:szCs w:val="32"/>
        </w:rPr>
        <w:t>万元，增长</w:t>
      </w:r>
      <w:r>
        <w:rPr>
          <w:rFonts w:hint="eastAsia" w:ascii="仿宋_GB2312"/>
          <w:bCs/>
          <w:kern w:val="44"/>
          <w:szCs w:val="32"/>
          <w:u w:val="single"/>
        </w:rPr>
        <w:t xml:space="preserve">    </w:t>
      </w:r>
      <w:r>
        <w:rPr>
          <w:rFonts w:ascii="仿宋_GB2312"/>
          <w:bCs/>
          <w:kern w:val="44"/>
          <w:szCs w:val="32"/>
          <w:u w:val="single"/>
        </w:rPr>
        <w:t>0</w:t>
      </w:r>
      <w:r>
        <w:rPr>
          <w:rFonts w:hint="eastAsia" w:ascii="仿宋_GB2312"/>
          <w:bCs/>
          <w:kern w:val="44"/>
          <w:szCs w:val="32"/>
          <w:u w:val="single"/>
        </w:rPr>
        <w:t xml:space="preserve">  </w:t>
      </w:r>
      <w:r>
        <w:rPr>
          <w:rFonts w:hint="eastAsia" w:ascii="仿宋_GB2312"/>
          <w:bCs/>
          <w:kern w:val="44"/>
          <w:szCs w:val="32"/>
        </w:rPr>
        <w:t>%。主要用于2024年全年每日水质监测工作，全年完成日监测水样1800份。</w:t>
      </w:r>
    </w:p>
    <w:p>
      <w:pPr>
        <w:numPr>
          <w:ilvl w:val="0"/>
          <w:numId w:val="1"/>
        </w:numPr>
        <w:ind w:firstLine="640"/>
        <w:jc w:val="both"/>
        <w:rPr>
          <w:rFonts w:ascii="仿宋_GB2312"/>
          <w:bCs/>
          <w:kern w:val="44"/>
          <w:szCs w:val="32"/>
        </w:rPr>
      </w:pPr>
      <w:r>
        <w:rPr>
          <w:rFonts w:hint="eastAsia" w:ascii="仿宋_GB2312"/>
          <w:color w:val="000000"/>
          <w:szCs w:val="32"/>
        </w:rPr>
        <w:t>慢病、传染病、免疫规划、地方病防治项目。预算经费</w:t>
      </w:r>
      <w:r>
        <w:rPr>
          <w:rFonts w:hint="eastAsia" w:ascii="仿宋_GB2312"/>
          <w:kern w:val="44"/>
          <w:szCs w:val="32"/>
          <w:u w:val="single"/>
        </w:rPr>
        <w:t xml:space="preserve"> </w:t>
      </w:r>
      <w:r>
        <w:rPr>
          <w:rFonts w:ascii="仿宋_GB2312"/>
          <w:kern w:val="44"/>
          <w:szCs w:val="32"/>
          <w:u w:val="single"/>
        </w:rPr>
        <w:t>72</w:t>
      </w:r>
      <w:r>
        <w:rPr>
          <w:rFonts w:hint="eastAsia" w:ascii="仿宋_GB2312"/>
          <w:kern w:val="44"/>
          <w:szCs w:val="32"/>
          <w:u w:val="single"/>
        </w:rPr>
        <w:t xml:space="preserve"> </w:t>
      </w:r>
      <w:r>
        <w:rPr>
          <w:rFonts w:hint="eastAsia" w:ascii="仿宋_GB2312"/>
          <w:bCs/>
          <w:kern w:val="44"/>
          <w:szCs w:val="32"/>
          <w:u w:val="single"/>
        </w:rPr>
        <w:t xml:space="preserve"> </w:t>
      </w:r>
      <w:r>
        <w:rPr>
          <w:rFonts w:hint="eastAsia" w:ascii="仿宋_GB2312"/>
          <w:bCs/>
          <w:kern w:val="44"/>
          <w:szCs w:val="32"/>
        </w:rPr>
        <w:t>万元，比上年</w:t>
      </w:r>
      <w:r>
        <w:rPr>
          <w:rFonts w:hint="eastAsia"/>
        </w:rPr>
        <w:t>预算</w:t>
      </w:r>
      <w:r>
        <w:rPr>
          <w:rFonts w:hint="eastAsia" w:ascii="仿宋_GB2312"/>
          <w:bCs/>
          <w:kern w:val="44"/>
          <w:szCs w:val="32"/>
        </w:rPr>
        <w:t>增加</w:t>
      </w:r>
      <w:r>
        <w:rPr>
          <w:rFonts w:ascii="仿宋_GB2312"/>
          <w:bCs/>
          <w:kern w:val="44"/>
          <w:szCs w:val="32"/>
        </w:rPr>
        <w:t>0</w:t>
      </w:r>
      <w:r>
        <w:rPr>
          <w:rFonts w:hint="eastAsia" w:ascii="仿宋_GB2312"/>
          <w:bCs/>
          <w:kern w:val="44"/>
          <w:szCs w:val="32"/>
          <w:u w:val="single"/>
        </w:rPr>
        <w:t xml:space="preserve">     </w:t>
      </w:r>
      <w:r>
        <w:rPr>
          <w:rFonts w:hint="eastAsia" w:ascii="仿宋_GB2312"/>
          <w:bCs/>
          <w:kern w:val="44"/>
          <w:szCs w:val="32"/>
        </w:rPr>
        <w:t>万元，增长</w:t>
      </w:r>
      <w:r>
        <w:rPr>
          <w:rFonts w:ascii="仿宋_GB2312"/>
          <w:bCs/>
          <w:kern w:val="44"/>
          <w:szCs w:val="32"/>
        </w:rPr>
        <w:t>0</w:t>
      </w:r>
      <w:r>
        <w:rPr>
          <w:rFonts w:hint="eastAsia" w:ascii="仿宋_GB2312"/>
          <w:bCs/>
          <w:kern w:val="44"/>
          <w:szCs w:val="32"/>
          <w:u w:val="single"/>
        </w:rPr>
        <w:t xml:space="preserve">     </w:t>
      </w:r>
      <w:r>
        <w:rPr>
          <w:rFonts w:hint="eastAsia" w:ascii="仿宋_GB2312"/>
          <w:bCs/>
          <w:kern w:val="44"/>
          <w:szCs w:val="32"/>
        </w:rPr>
        <w:t>%。主要用于一是慢病：1、人均期望寿命及重大慢病过早死亡率达到健康湖北考核目标；2、规范肿瘤登记、心脑血管事件报告，推进慢阻肺报告；3、实施全民健康生活方式，组织各县区开展全民健康生活方式月宣传活动；4、规范全市老年人、高血压、糖尿病健康管理；5协助黄石港区开展慢病示范区建设。二是传染病：1、完成各类传染病监测，掌握我市病原动态。2、调查各类相关传染病病例，防控各种传染病疫情进一步扩散。3、加强输入性传染病的防控防止本地传散。三是地方病： 1、居民合格碘盐食用率保持在95%以上，碘盐覆盖率达100%。2、8-10岁学生甲状腺肿大率小于5%。3、改水降氟工程水氟含量达到国家生活饮用水标准。                                              四、免疫规划：四是国家免疫规划疫苗接种率≥90%；入托入学新生预防接种证查验率≥95%；疑似预防接种异常反应规范处置率≥90%"。</w:t>
      </w:r>
    </w:p>
    <w:p>
      <w:pPr>
        <w:numPr>
          <w:ilvl w:val="0"/>
          <w:numId w:val="1"/>
        </w:numPr>
        <w:ind w:firstLine="640"/>
        <w:jc w:val="both"/>
        <w:rPr>
          <w:rFonts w:hint="eastAsia" w:ascii="仿宋_GB2312"/>
          <w:bCs/>
          <w:kern w:val="44"/>
          <w:sz w:val="32"/>
          <w:szCs w:val="32"/>
          <w:highlight w:val="none"/>
          <w:u w:val="none"/>
          <w:lang w:eastAsia="zh-CN"/>
        </w:rPr>
      </w:pPr>
      <w:r>
        <w:rPr>
          <w:rFonts w:hint="eastAsia" w:ascii="仿宋" w:hAnsi="仿宋" w:eastAsia="仿宋" w:cs="仿宋"/>
          <w:b w:val="0"/>
          <w:bCs w:val="0"/>
          <w:color w:val="000000"/>
          <w:sz w:val="32"/>
          <w:szCs w:val="32"/>
          <w:highlight w:val="none"/>
          <w:u w:val="none"/>
          <w:lang w:val="en-US" w:eastAsia="zh-CN"/>
        </w:rPr>
        <w:t>结核病防治专项项目。预算经费</w:t>
      </w:r>
      <w:r>
        <w:rPr>
          <w:rFonts w:hint="eastAsia" w:ascii="仿宋" w:hAnsi="仿宋" w:eastAsia="仿宋" w:cs="仿宋"/>
          <w:b w:val="0"/>
          <w:bCs w:val="0"/>
          <w:kern w:val="44"/>
          <w:sz w:val="32"/>
          <w:szCs w:val="32"/>
          <w:highlight w:val="none"/>
          <w:u w:val="none"/>
          <w:lang w:val="en-US" w:eastAsia="zh-CN"/>
        </w:rPr>
        <w:t>33</w:t>
      </w:r>
      <w:r>
        <w:rPr>
          <w:rFonts w:hint="eastAsia" w:ascii="仿宋" w:hAnsi="仿宋" w:eastAsia="仿宋" w:cs="仿宋"/>
          <w:bCs/>
          <w:kern w:val="44"/>
          <w:sz w:val="32"/>
          <w:szCs w:val="32"/>
          <w:highlight w:val="none"/>
          <w:u w:val="none"/>
          <w:lang w:val="en-US" w:eastAsia="zh-CN"/>
        </w:rPr>
        <w:t>万元，</w:t>
      </w:r>
      <w:r>
        <w:rPr>
          <w:rFonts w:hint="eastAsia" w:ascii="仿宋_GB2312"/>
          <w:bCs/>
          <w:kern w:val="44"/>
          <w:sz w:val="32"/>
          <w:szCs w:val="32"/>
          <w:highlight w:val="none"/>
          <w:lang w:val="en-US" w:eastAsia="zh-CN"/>
        </w:rPr>
        <w:t>比上年</w:t>
      </w:r>
      <w:r>
        <w:rPr>
          <w:rFonts w:hint="eastAsia"/>
          <w:lang w:val="en-US" w:eastAsia="zh-CN"/>
        </w:rPr>
        <w:t>预算</w:t>
      </w:r>
      <w:r>
        <w:rPr>
          <w:rFonts w:hint="eastAsia" w:ascii="仿宋_GB2312" w:eastAsia="仿宋_GB2312"/>
          <w:bCs/>
          <w:kern w:val="44"/>
          <w:sz w:val="32"/>
          <w:szCs w:val="32"/>
          <w:highlight w:val="none"/>
        </w:rPr>
        <w:t>增加</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万元，增长</w:t>
      </w:r>
      <w:r>
        <w:rPr>
          <w:rFonts w:hint="eastAsia" w:ascii="仿宋_GB2312"/>
          <w:bCs/>
          <w:kern w:val="44"/>
          <w:sz w:val="32"/>
          <w:szCs w:val="32"/>
          <w:highlight w:val="none"/>
          <w:lang w:val="en-US" w:eastAsia="zh-CN"/>
        </w:rPr>
        <w:t>0</w:t>
      </w:r>
      <w:r>
        <w:rPr>
          <w:rFonts w:hint="eastAsia" w:ascii="仿宋_GB2312" w:eastAsia="仿宋_GB2312"/>
          <w:bCs/>
          <w:kern w:val="44"/>
          <w:sz w:val="32"/>
          <w:szCs w:val="32"/>
          <w:highlight w:val="none"/>
        </w:rPr>
        <w:t>%</w:t>
      </w:r>
      <w:r>
        <w:rPr>
          <w:rFonts w:hint="eastAsia" w:ascii="仿宋_GB2312"/>
          <w:bCs/>
          <w:kern w:val="44"/>
          <w:sz w:val="32"/>
          <w:szCs w:val="32"/>
          <w:highlight w:val="none"/>
          <w:lang w:eastAsia="zh-CN"/>
        </w:rPr>
        <w:t>，</w:t>
      </w:r>
      <w:r>
        <w:rPr>
          <w:rFonts w:hint="eastAsia" w:ascii="仿宋" w:hAnsi="仿宋" w:eastAsia="仿宋" w:cs="仿宋"/>
          <w:bCs/>
          <w:kern w:val="44"/>
          <w:sz w:val="32"/>
          <w:szCs w:val="32"/>
          <w:highlight w:val="none"/>
          <w:u w:val="none"/>
          <w:lang w:val="en-US" w:eastAsia="zh-CN"/>
        </w:rPr>
        <w:t>与上年</w:t>
      </w:r>
      <w:r>
        <w:rPr>
          <w:rFonts w:hint="eastAsia" w:ascii="仿宋" w:hAnsi="仿宋" w:eastAsia="仿宋" w:cs="仿宋"/>
          <w:sz w:val="32"/>
          <w:szCs w:val="32"/>
          <w:highlight w:val="none"/>
          <w:u w:val="none"/>
          <w:lang w:val="en-US" w:eastAsia="zh-CN"/>
        </w:rPr>
        <w:t>预算</w:t>
      </w:r>
      <w:r>
        <w:rPr>
          <w:rFonts w:hint="eastAsia" w:ascii="仿宋" w:hAnsi="仿宋" w:eastAsia="仿宋" w:cs="仿宋"/>
          <w:bCs/>
          <w:kern w:val="44"/>
          <w:sz w:val="32"/>
          <w:szCs w:val="32"/>
          <w:highlight w:val="none"/>
          <w:u w:val="none"/>
          <w:lang w:val="en-US" w:eastAsia="zh-CN"/>
        </w:rPr>
        <w:t>持平</w:t>
      </w:r>
      <w:r>
        <w:rPr>
          <w:rFonts w:hint="eastAsia" w:ascii="仿宋" w:hAnsi="仿宋" w:eastAsia="仿宋" w:cs="仿宋"/>
          <w:bCs/>
          <w:kern w:val="44"/>
          <w:sz w:val="32"/>
          <w:szCs w:val="32"/>
          <w:highlight w:val="none"/>
          <w:u w:val="none"/>
          <w:lang w:eastAsia="zh-CN"/>
        </w:rPr>
        <w:t>。</w:t>
      </w:r>
      <w:r>
        <w:rPr>
          <w:rFonts w:hint="eastAsia" w:ascii="仿宋" w:hAnsi="仿宋" w:eastAsia="仿宋" w:cs="仿宋"/>
          <w:bCs/>
          <w:kern w:val="44"/>
          <w:sz w:val="32"/>
          <w:szCs w:val="32"/>
          <w:highlight w:val="none"/>
          <w:u w:val="none"/>
          <w:lang w:val="en-US" w:eastAsia="zh-CN"/>
        </w:rPr>
        <w:t>主要用于全市结核病人的发现、诊断、报告、登记、治疗和管理。</w:t>
      </w:r>
    </w:p>
    <w:p>
      <w:pPr>
        <w:numPr>
          <w:ilvl w:val="0"/>
          <w:numId w:val="1"/>
        </w:numPr>
        <w:ind w:firstLine="640"/>
        <w:jc w:val="both"/>
        <w:rPr>
          <w:rFonts w:hint="eastAsia" w:ascii="仿宋_GB2312"/>
          <w:bCs/>
          <w:kern w:val="44"/>
          <w:sz w:val="32"/>
          <w:szCs w:val="32"/>
          <w:highlight w:val="none"/>
          <w:u w:val="none"/>
          <w:lang w:eastAsia="zh-CN"/>
        </w:rPr>
      </w:pPr>
      <w:r>
        <w:rPr>
          <w:rFonts w:hint="eastAsia" w:ascii="仿宋" w:hAnsi="仿宋" w:eastAsia="仿宋"/>
          <w:sz w:val="32"/>
          <w:szCs w:val="32"/>
          <w:u w:val="none"/>
          <w:lang w:val="en-US" w:eastAsia="zh-CN"/>
        </w:rPr>
        <w:t>安全生产监管专项</w:t>
      </w:r>
      <w:r>
        <w:rPr>
          <w:rFonts w:hint="eastAsia" w:ascii="仿宋_GB2312"/>
          <w:b w:val="0"/>
          <w:bCs w:val="0"/>
          <w:color w:val="000000"/>
          <w:sz w:val="32"/>
          <w:szCs w:val="32"/>
          <w:highlight w:val="none"/>
          <w:u w:val="none"/>
          <w:lang w:val="en-US" w:eastAsia="zh-CN"/>
        </w:rPr>
        <w:t>项目。预算经费</w:t>
      </w:r>
      <w:r>
        <w:rPr>
          <w:rFonts w:hint="eastAsia" w:ascii="仿宋_GB2312"/>
          <w:b w:val="0"/>
          <w:bCs w:val="0"/>
          <w:kern w:val="44"/>
          <w:sz w:val="32"/>
          <w:szCs w:val="32"/>
          <w:highlight w:val="none"/>
          <w:u w:val="none"/>
          <w:lang w:val="en-US" w:eastAsia="zh-CN"/>
        </w:rPr>
        <w:t>5</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w:t>
      </w:r>
      <w:r>
        <w:rPr>
          <w:rFonts w:hint="eastAsia" w:ascii="仿宋" w:hAnsi="仿宋" w:eastAsia="仿宋"/>
          <w:sz w:val="32"/>
          <w:szCs w:val="32"/>
          <w:u w:val="none"/>
          <w:lang w:val="en-US" w:eastAsia="zh-CN"/>
        </w:rPr>
        <w:t>当年项目支出预算与上年对比无增减变化，与上年预算持平</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_GB2312" w:eastAsia="仿宋_GB2312"/>
          <w:bCs/>
          <w:kern w:val="44"/>
          <w:sz w:val="32"/>
          <w:szCs w:val="32"/>
          <w:highlight w:val="none"/>
          <w:u w:val="none"/>
        </w:rPr>
        <w:t>保证职业卫生监管执法工作的有序开展，督促企业全面落实职业病防治主体责任，有效预防、控制和消除职业病危害，防治职业病，维护社会稳定</w:t>
      </w:r>
      <w:r>
        <w:rPr>
          <w:rFonts w:hint="eastAsia" w:ascii="仿宋_GB2312"/>
          <w:bCs/>
          <w:kern w:val="44"/>
          <w:sz w:val="32"/>
          <w:szCs w:val="32"/>
          <w:highlight w:val="none"/>
          <w:u w:val="none"/>
          <w:lang w:eastAsia="zh-CN"/>
        </w:rPr>
        <w:t>。</w:t>
      </w:r>
    </w:p>
    <w:p>
      <w:pPr>
        <w:numPr>
          <w:ilvl w:val="0"/>
          <w:numId w:val="1"/>
        </w:numPr>
        <w:ind w:firstLine="640"/>
        <w:jc w:val="both"/>
        <w:rPr>
          <w:rFonts w:hint="eastAsia" w:ascii="仿宋_GB2312"/>
          <w:bCs/>
          <w:kern w:val="44"/>
          <w:sz w:val="32"/>
          <w:szCs w:val="32"/>
          <w:highlight w:val="none"/>
          <w:u w:val="none"/>
          <w:lang w:val="en-US" w:eastAsia="zh-CN"/>
        </w:rPr>
      </w:pPr>
      <w:r>
        <w:rPr>
          <w:rFonts w:hint="eastAsia" w:ascii="仿宋" w:hAnsi="仿宋" w:eastAsia="仿宋"/>
          <w:sz w:val="32"/>
          <w:szCs w:val="32"/>
          <w:u w:val="none"/>
          <w:lang w:val="en-US" w:eastAsia="zh-CN"/>
        </w:rPr>
        <w:t>卫生监督督导专项</w:t>
      </w:r>
      <w:r>
        <w:rPr>
          <w:rFonts w:hint="eastAsia" w:ascii="仿宋_GB2312"/>
          <w:b w:val="0"/>
          <w:bCs w:val="0"/>
          <w:color w:val="000000"/>
          <w:sz w:val="32"/>
          <w:szCs w:val="32"/>
          <w:highlight w:val="none"/>
          <w:u w:val="none"/>
          <w:lang w:val="en-US" w:eastAsia="zh-CN"/>
        </w:rPr>
        <w:t>项目。预算经费</w:t>
      </w:r>
      <w:r>
        <w:rPr>
          <w:rFonts w:hint="eastAsia" w:ascii="仿宋_GB2312"/>
          <w:b w:val="0"/>
          <w:bCs w:val="0"/>
          <w:kern w:val="44"/>
          <w:sz w:val="32"/>
          <w:szCs w:val="32"/>
          <w:highlight w:val="none"/>
          <w:u w:val="none"/>
          <w:lang w:val="en-US" w:eastAsia="zh-CN"/>
        </w:rPr>
        <w:t>40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w:t>
      </w:r>
      <w:r>
        <w:rPr>
          <w:rFonts w:hint="eastAsia" w:ascii="仿宋" w:hAnsi="仿宋" w:eastAsia="仿宋"/>
          <w:sz w:val="32"/>
          <w:szCs w:val="32"/>
          <w:u w:val="none"/>
          <w:lang w:val="en-US" w:eastAsia="zh-CN"/>
        </w:rPr>
        <w:t>当年项目支出预算与上年对比无增减变化，与上年预算持平</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w:t>
      </w:r>
      <w:r>
        <w:rPr>
          <w:rFonts w:hint="eastAsia" w:ascii="仿宋_GB2312" w:eastAsia="仿宋_GB2312"/>
          <w:bCs/>
          <w:kern w:val="44"/>
          <w:sz w:val="32"/>
          <w:szCs w:val="32"/>
          <w:highlight w:val="none"/>
          <w:u w:val="none"/>
        </w:rPr>
        <w:t>保障医疗卫生、职业卫生、传染病防治、饮用水、公共场所卫生等各项卫生监督重点工作正常开展</w:t>
      </w:r>
      <w:r>
        <w:rPr>
          <w:rFonts w:hint="eastAsia" w:ascii="仿宋_GB2312"/>
          <w:bCs/>
          <w:kern w:val="44"/>
          <w:sz w:val="32"/>
          <w:szCs w:val="32"/>
          <w:highlight w:val="none"/>
          <w:u w:val="none"/>
          <w:lang w:eastAsia="zh-CN"/>
        </w:rPr>
        <w:t>。</w:t>
      </w:r>
    </w:p>
    <w:p>
      <w:pPr>
        <w:numPr>
          <w:ilvl w:val="0"/>
          <w:numId w:val="1"/>
        </w:numPr>
        <w:ind w:firstLine="640"/>
        <w:jc w:val="both"/>
        <w:rPr>
          <w:rFonts w:hint="eastAsia" w:ascii="仿宋_GB2312"/>
          <w:bCs/>
          <w:kern w:val="44"/>
          <w:sz w:val="32"/>
          <w:szCs w:val="32"/>
          <w:highlight w:val="none"/>
          <w:u w:val="none"/>
          <w:lang w:val="en-US" w:eastAsia="zh-CN"/>
        </w:rPr>
      </w:pPr>
      <w:r>
        <w:rPr>
          <w:rFonts w:hint="eastAsia" w:ascii="仿宋" w:hAnsi="仿宋" w:eastAsia="仿宋"/>
          <w:sz w:val="32"/>
          <w:szCs w:val="32"/>
          <w:u w:val="none"/>
          <w:lang w:val="en-US" w:eastAsia="zh-CN"/>
        </w:rPr>
        <w:t>卫生监督快检设备运行维护及委托业务经费</w:t>
      </w:r>
      <w:r>
        <w:rPr>
          <w:rFonts w:hint="eastAsia" w:ascii="仿宋_GB2312"/>
          <w:b w:val="0"/>
          <w:bCs w:val="0"/>
          <w:color w:val="000000"/>
          <w:sz w:val="32"/>
          <w:szCs w:val="32"/>
          <w:highlight w:val="none"/>
          <w:u w:val="none"/>
          <w:lang w:val="en-US" w:eastAsia="zh-CN"/>
        </w:rPr>
        <w:t>项目。预算经费</w:t>
      </w:r>
      <w:r>
        <w:rPr>
          <w:rFonts w:hint="eastAsia" w:ascii="仿宋_GB2312"/>
          <w:b w:val="0"/>
          <w:bCs w:val="0"/>
          <w:kern w:val="44"/>
          <w:sz w:val="32"/>
          <w:szCs w:val="32"/>
          <w:highlight w:val="none"/>
          <w:u w:val="none"/>
          <w:lang w:val="en-US" w:eastAsia="zh-CN"/>
        </w:rPr>
        <w:t>20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w:t>
      </w:r>
      <w:r>
        <w:rPr>
          <w:rFonts w:hint="eastAsia" w:ascii="仿宋" w:hAnsi="仿宋" w:eastAsia="仿宋"/>
          <w:sz w:val="32"/>
          <w:szCs w:val="32"/>
          <w:u w:val="none"/>
          <w:lang w:val="en-US" w:eastAsia="zh-CN"/>
        </w:rPr>
        <w:t>当年项目支出预算与上年对比无增减变化，与上年预算持平</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主要用于实施卫生监督执法能力提升项目，加强卫生监督执法机构的装备设备配备。</w:t>
      </w:r>
    </w:p>
    <w:p>
      <w:pPr>
        <w:numPr>
          <w:ilvl w:val="0"/>
          <w:numId w:val="1"/>
        </w:numPr>
        <w:ind w:firstLine="640"/>
        <w:jc w:val="both"/>
        <w:rPr>
          <w:rFonts w:hint="eastAsia" w:ascii="仿宋_GB2312"/>
          <w:bCs/>
          <w:kern w:val="44"/>
          <w:sz w:val="32"/>
          <w:szCs w:val="32"/>
          <w:highlight w:val="none"/>
          <w:u w:val="none"/>
          <w:lang w:val="en-US" w:eastAsia="zh-CN"/>
        </w:rPr>
      </w:pPr>
      <w:r>
        <w:rPr>
          <w:rFonts w:hint="eastAsia" w:ascii="仿宋" w:hAnsi="仿宋" w:eastAsia="仿宋"/>
          <w:sz w:val="32"/>
          <w:szCs w:val="32"/>
          <w:u w:val="none"/>
          <w:lang w:val="en-US" w:eastAsia="zh-CN"/>
        </w:rPr>
        <w:t>用人单位主要负责人和职业卫生管理人员职业卫生培训经费</w:t>
      </w:r>
      <w:r>
        <w:rPr>
          <w:rFonts w:hint="eastAsia" w:ascii="仿宋_GB2312"/>
          <w:b w:val="0"/>
          <w:bCs w:val="0"/>
          <w:color w:val="000000"/>
          <w:sz w:val="32"/>
          <w:szCs w:val="32"/>
          <w:highlight w:val="none"/>
          <w:u w:val="none"/>
          <w:lang w:val="en-US" w:eastAsia="zh-CN"/>
        </w:rPr>
        <w:t>项目。预算经费</w:t>
      </w:r>
      <w:r>
        <w:rPr>
          <w:rFonts w:hint="eastAsia" w:ascii="仿宋_GB2312"/>
          <w:b w:val="0"/>
          <w:bCs w:val="0"/>
          <w:kern w:val="44"/>
          <w:sz w:val="32"/>
          <w:szCs w:val="32"/>
          <w:highlight w:val="none"/>
          <w:u w:val="none"/>
          <w:lang w:val="en-US" w:eastAsia="zh-CN"/>
        </w:rPr>
        <w:t>10</w:t>
      </w:r>
      <w:r>
        <w:rPr>
          <w:rFonts w:hint="eastAsia" w:ascii="仿宋_GB2312" w:eastAsia="仿宋_GB2312"/>
          <w:bCs/>
          <w:kern w:val="44"/>
          <w:sz w:val="32"/>
          <w:szCs w:val="32"/>
          <w:highlight w:val="none"/>
          <w:u w:val="none"/>
          <w:lang w:val="en-US" w:eastAsia="zh-CN"/>
        </w:rPr>
        <w:t>万元</w:t>
      </w:r>
      <w:r>
        <w:rPr>
          <w:rFonts w:hint="eastAsia" w:ascii="仿宋_GB2312"/>
          <w:bCs/>
          <w:kern w:val="44"/>
          <w:sz w:val="32"/>
          <w:szCs w:val="32"/>
          <w:highlight w:val="none"/>
          <w:u w:val="none"/>
          <w:lang w:val="en-US" w:eastAsia="zh-CN"/>
        </w:rPr>
        <w:t>，</w:t>
      </w:r>
      <w:r>
        <w:rPr>
          <w:rFonts w:hint="eastAsia" w:ascii="仿宋" w:hAnsi="仿宋" w:eastAsia="仿宋"/>
          <w:sz w:val="32"/>
          <w:szCs w:val="32"/>
          <w:u w:val="none"/>
          <w:lang w:val="en-US" w:eastAsia="zh-CN"/>
        </w:rPr>
        <w:t>当年项目支出预算与上年对比无增减变化，与上年预算持平</w:t>
      </w:r>
      <w:r>
        <w:rPr>
          <w:rFonts w:hint="eastAsia" w:ascii="仿宋_GB2312" w:eastAsia="仿宋_GB2312"/>
          <w:bCs/>
          <w:kern w:val="44"/>
          <w:sz w:val="32"/>
          <w:szCs w:val="32"/>
          <w:highlight w:val="none"/>
          <w:u w:val="none"/>
        </w:rPr>
        <w:t>。</w:t>
      </w:r>
      <w:r>
        <w:rPr>
          <w:rFonts w:hint="eastAsia" w:ascii="仿宋_GB2312"/>
          <w:bCs/>
          <w:kern w:val="44"/>
          <w:sz w:val="32"/>
          <w:szCs w:val="32"/>
          <w:highlight w:val="none"/>
          <w:u w:val="none"/>
          <w:lang w:val="en-US" w:eastAsia="zh-CN"/>
        </w:rPr>
        <w:t>主要用于完成城区100家用人单位主要负责人及职业卫生管理人员的职业卫生培训。</w:t>
      </w:r>
    </w:p>
    <w:p>
      <w:pPr>
        <w:numPr>
          <w:ilvl w:val="0"/>
          <w:numId w:val="1"/>
        </w:numPr>
        <w:ind w:firstLine="640"/>
        <w:jc w:val="both"/>
        <w:rPr>
          <w:rFonts w:hint="eastAsia" w:ascii="仿宋_GB2312"/>
          <w:bCs/>
          <w:kern w:val="44"/>
          <w:sz w:val="32"/>
          <w:szCs w:val="32"/>
          <w:highlight w:val="none"/>
          <w:u w:val="none"/>
          <w:lang w:val="en-US" w:eastAsia="zh-CN"/>
        </w:rPr>
      </w:pPr>
      <w:r>
        <w:rPr>
          <w:rFonts w:hint="eastAsia" w:ascii="仿宋_GB2312"/>
          <w:bCs/>
          <w:kern w:val="44"/>
          <w:sz w:val="32"/>
          <w:szCs w:val="32"/>
          <w:highlight w:val="none"/>
          <w:u w:val="none"/>
          <w:lang w:val="en-US" w:eastAsia="zh-CN"/>
        </w:rPr>
        <w:t>卫生健康监督执法培训经费项目。预算经费30万元，比上年预算增加15万元，增长100%。主要用于强化卫生监督人员要政策法规的学习，更新卫生监督知识，提高执法能力和执法水平。提升卫生监督人员法律法规基础知识、卫生监督基本专业技能和信息报告能力。</w:t>
      </w:r>
    </w:p>
    <w:p>
      <w:pPr>
        <w:numPr>
          <w:ilvl w:val="0"/>
          <w:numId w:val="1"/>
        </w:numPr>
        <w:ind w:firstLine="640"/>
        <w:jc w:val="both"/>
        <w:rPr>
          <w:rFonts w:hint="default" w:ascii="仿宋_GB2312"/>
          <w:bCs/>
          <w:kern w:val="44"/>
          <w:sz w:val="32"/>
          <w:szCs w:val="32"/>
          <w:highlight w:val="none"/>
          <w:lang w:val="en-US" w:eastAsia="zh-CN"/>
        </w:rPr>
      </w:pPr>
      <w:r>
        <w:rPr>
          <w:rFonts w:hint="eastAsia" w:ascii="仿宋_GB2312"/>
          <w:bCs/>
          <w:kern w:val="44"/>
          <w:sz w:val="32"/>
          <w:szCs w:val="32"/>
          <w:highlight w:val="none"/>
          <w:u w:val="none"/>
          <w:lang w:val="en-US" w:eastAsia="zh-CN"/>
        </w:rPr>
        <w:t>卫生监督监测技术服务经费项目。预算经费30万元，比上年预算增加10万元，增长50%。主要用于认真履行卫生监督及监测工作职责，确保卫生监督和监测覆盖率达到100%，保障公共卫生安全。</w:t>
      </w:r>
    </w:p>
    <w:p>
      <w:pPr>
        <w:numPr>
          <w:ilvl w:val="0"/>
          <w:numId w:val="1"/>
        </w:numPr>
        <w:ind w:firstLine="640"/>
        <w:jc w:val="both"/>
        <w:rPr>
          <w:rFonts w:hint="default" w:ascii="仿宋_GB2312"/>
          <w:bCs/>
          <w:kern w:val="44"/>
          <w:sz w:val="32"/>
          <w:szCs w:val="32"/>
          <w:highlight w:val="none"/>
          <w:lang w:val="en-US" w:eastAsia="zh-CN"/>
        </w:rPr>
      </w:pPr>
      <w:r>
        <w:rPr>
          <w:rFonts w:hint="eastAsia" w:ascii="Times New Roman" w:hAnsi="Times New Roman"/>
          <w:color w:val="auto"/>
          <w:szCs w:val="32"/>
        </w:rPr>
        <w:t>市级财政血液核酸检测专项经费。预算经费</w:t>
      </w:r>
      <w:r>
        <w:rPr>
          <w:rFonts w:hint="eastAsia" w:ascii="Times New Roman" w:hAnsi="Times New Roman"/>
          <w:color w:val="auto"/>
          <w:kern w:val="44"/>
          <w:szCs w:val="32"/>
        </w:rPr>
        <w:t>25</w:t>
      </w:r>
      <w:r>
        <w:rPr>
          <w:rFonts w:hint="eastAsia" w:ascii="Times New Roman" w:hAnsi="Times New Roman"/>
          <w:bCs/>
          <w:color w:val="auto"/>
          <w:kern w:val="44"/>
          <w:szCs w:val="32"/>
        </w:rPr>
        <w:t>万元，</w:t>
      </w:r>
      <w:r>
        <w:rPr>
          <w:rFonts w:hint="eastAsia" w:ascii="Times New Roman" w:hAnsi="Times New Roman"/>
          <w:color w:val="auto"/>
        </w:rPr>
        <w:t>与上年对比无增减变化，</w:t>
      </w:r>
      <w:r>
        <w:rPr>
          <w:rFonts w:hint="eastAsia" w:ascii="Times New Roman" w:hAnsi="Times New Roman"/>
          <w:bCs/>
          <w:color w:val="auto"/>
          <w:kern w:val="44"/>
          <w:szCs w:val="32"/>
        </w:rPr>
        <w:t>与上年预算持平。主要用于购买血液专用核酸检测试剂。</w:t>
      </w: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第四部分  机关运行经费安排情况说明</w:t>
      </w:r>
    </w:p>
    <w:p>
      <w:pPr>
        <w:adjustRightInd w:val="0"/>
        <w:snapToGrid w:val="0"/>
        <w:spacing w:line="580" w:lineRule="atLeast"/>
        <w:ind w:firstLine="640" w:firstLineChars="200"/>
        <w:rPr>
          <w:rFonts w:hint="eastAsia"/>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年度机关运行经费机关运行经费预算总额为1008.45万元，比上年增加407.99万元，增长67.95%，增加原因主要是：部门总人数增加，公用经费增加。</w:t>
      </w:r>
    </w:p>
    <w:p>
      <w:pPr>
        <w:adjustRightInd w:val="0"/>
        <w:snapToGrid w:val="0"/>
        <w:spacing w:line="580" w:lineRule="atLeast"/>
        <w:ind w:firstLine="640" w:firstLineChars="200"/>
        <w:rPr>
          <w:rFonts w:hint="eastAsia" w:ascii="仿宋_GB2312" w:hAnsi="宋体" w:eastAsia="仿宋_GB2312"/>
          <w:b/>
          <w:bCs w:val="0"/>
          <w:sz w:val="32"/>
          <w:szCs w:val="32"/>
          <w:highlight w:val="none"/>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年度机关运行经费预算包括：办公费</w:t>
      </w:r>
      <w:r>
        <w:rPr>
          <w:rFonts w:hint="eastAsia" w:ascii="仿宋_GB2312"/>
          <w:bCs/>
          <w:kern w:val="44"/>
          <w:sz w:val="32"/>
          <w:szCs w:val="32"/>
          <w:highlight w:val="none"/>
          <w:u w:val="single"/>
          <w:lang w:val="en-US" w:eastAsia="zh-CN"/>
        </w:rPr>
        <w:t>98.75</w:t>
      </w:r>
      <w:r>
        <w:rPr>
          <w:rFonts w:hint="eastAsia" w:ascii="仿宋_GB2312" w:eastAsia="仿宋_GB2312"/>
          <w:bCs/>
          <w:kern w:val="44"/>
          <w:sz w:val="32"/>
          <w:szCs w:val="32"/>
          <w:highlight w:val="none"/>
        </w:rPr>
        <w:t>万元</w:t>
      </w:r>
      <w:r>
        <w:rPr>
          <w:rFonts w:hint="eastAsia"/>
          <w:lang w:val="en-US" w:eastAsia="zh-CN"/>
        </w:rPr>
        <w:t>、印刷费</w:t>
      </w:r>
      <w:r>
        <w:rPr>
          <w:rFonts w:hint="eastAsia" w:ascii="仿宋_GB2312"/>
          <w:bCs/>
          <w:kern w:val="44"/>
          <w:sz w:val="32"/>
          <w:szCs w:val="32"/>
          <w:highlight w:val="none"/>
          <w:u w:val="single"/>
          <w:lang w:val="en-US" w:eastAsia="zh-CN"/>
        </w:rPr>
        <w:t>2.5</w:t>
      </w:r>
      <w:r>
        <w:rPr>
          <w:rFonts w:hint="eastAsia" w:ascii="仿宋_GB2312" w:eastAsia="仿宋_GB2312"/>
          <w:bCs/>
          <w:kern w:val="44"/>
          <w:sz w:val="32"/>
          <w:szCs w:val="32"/>
          <w:highlight w:val="none"/>
        </w:rPr>
        <w:t>万元</w:t>
      </w:r>
      <w:r>
        <w:rPr>
          <w:rFonts w:hint="eastAsia"/>
          <w:lang w:val="en-US" w:eastAsia="zh-CN"/>
        </w:rPr>
        <w:t>、水费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、电费</w:t>
      </w:r>
      <w:r>
        <w:rPr>
          <w:rFonts w:hint="eastAsia" w:ascii="仿宋_GB2312"/>
          <w:bCs/>
          <w:kern w:val="44"/>
          <w:sz w:val="32"/>
          <w:szCs w:val="32"/>
          <w:highlight w:val="none"/>
          <w:u w:val="single"/>
          <w:lang w:val="en-US" w:eastAsia="zh-CN"/>
        </w:rPr>
        <w:t>19.5</w:t>
      </w:r>
      <w:r>
        <w:rPr>
          <w:rFonts w:hint="eastAsia" w:ascii="仿宋_GB2312" w:eastAsia="仿宋_GB2312"/>
          <w:bCs/>
          <w:kern w:val="44"/>
          <w:sz w:val="32"/>
          <w:szCs w:val="32"/>
          <w:highlight w:val="none"/>
        </w:rPr>
        <w:t>万元</w:t>
      </w:r>
      <w:r>
        <w:rPr>
          <w:rFonts w:hint="eastAsia"/>
          <w:lang w:val="en-US" w:eastAsia="zh-CN"/>
        </w:rPr>
        <w:t>、邮电费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、物业管理费</w:t>
      </w:r>
      <w:r>
        <w:rPr>
          <w:rFonts w:hint="eastAsia" w:ascii="仿宋_GB2312"/>
          <w:bCs/>
          <w:kern w:val="44"/>
          <w:sz w:val="32"/>
          <w:szCs w:val="32"/>
          <w:highlight w:val="none"/>
          <w:u w:val="single"/>
          <w:lang w:val="en-US" w:eastAsia="zh-CN"/>
        </w:rPr>
        <w:t>17</w:t>
      </w:r>
      <w:r>
        <w:rPr>
          <w:rFonts w:hint="eastAsia" w:ascii="仿宋_GB2312" w:eastAsia="仿宋_GB2312"/>
          <w:bCs/>
          <w:kern w:val="44"/>
          <w:sz w:val="32"/>
          <w:szCs w:val="32"/>
          <w:highlight w:val="none"/>
        </w:rPr>
        <w:t>万元</w:t>
      </w:r>
      <w:r>
        <w:rPr>
          <w:rFonts w:hint="eastAsia"/>
          <w:lang w:val="en-US" w:eastAsia="zh-CN"/>
        </w:rPr>
        <w:t>、差旅费</w:t>
      </w:r>
      <w:r>
        <w:rPr>
          <w:rFonts w:hint="eastAsia" w:ascii="仿宋_GB2312"/>
          <w:bCs/>
          <w:kern w:val="44"/>
          <w:sz w:val="32"/>
          <w:szCs w:val="32"/>
          <w:highlight w:val="none"/>
          <w:u w:val="single"/>
          <w:lang w:val="en-US" w:eastAsia="zh-CN"/>
        </w:rPr>
        <w:t>6</w:t>
      </w:r>
      <w:r>
        <w:rPr>
          <w:rFonts w:hint="eastAsia" w:ascii="仿宋_GB2312" w:eastAsia="仿宋_GB2312"/>
          <w:bCs/>
          <w:kern w:val="44"/>
          <w:sz w:val="32"/>
          <w:szCs w:val="32"/>
          <w:highlight w:val="none"/>
        </w:rPr>
        <w:t>万元</w:t>
      </w:r>
      <w:r>
        <w:rPr>
          <w:rFonts w:hint="eastAsia" w:ascii="仿宋_GB2312"/>
          <w:bCs/>
          <w:kern w:val="44"/>
          <w:sz w:val="32"/>
          <w:szCs w:val="32"/>
          <w:highlight w:val="none"/>
          <w:lang w:eastAsia="zh-CN"/>
        </w:rPr>
        <w:t>、</w:t>
      </w:r>
      <w:r>
        <w:rPr>
          <w:rFonts w:hint="eastAsia"/>
          <w:lang w:val="en-US" w:eastAsia="zh-CN"/>
        </w:rPr>
        <w:t>维修(护)费</w:t>
      </w:r>
      <w:r>
        <w:rPr>
          <w:rFonts w:hint="eastAsia" w:ascii="仿宋_GB2312"/>
          <w:bCs/>
          <w:kern w:val="44"/>
          <w:sz w:val="32"/>
          <w:szCs w:val="32"/>
          <w:highlight w:val="none"/>
          <w:u w:val="single"/>
          <w:lang w:val="en-US" w:eastAsia="zh-CN"/>
        </w:rPr>
        <w:t>10.2</w:t>
      </w:r>
      <w:r>
        <w:rPr>
          <w:rFonts w:hint="eastAsia" w:ascii="仿宋_GB2312" w:eastAsia="仿宋_GB2312"/>
          <w:bCs/>
          <w:kern w:val="44"/>
          <w:sz w:val="32"/>
          <w:szCs w:val="32"/>
          <w:highlight w:val="none"/>
        </w:rPr>
        <w:t>万元</w:t>
      </w:r>
      <w:r>
        <w:rPr>
          <w:rFonts w:hint="eastAsia"/>
          <w:lang w:val="en-US" w:eastAsia="zh-CN"/>
        </w:rPr>
        <w:t>、租赁费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、培训费</w:t>
      </w:r>
      <w:r>
        <w:rPr>
          <w:rFonts w:hint="eastAsia" w:ascii="仿宋_GB2312"/>
          <w:bCs/>
          <w:kern w:val="44"/>
          <w:sz w:val="32"/>
          <w:szCs w:val="32"/>
          <w:highlight w:val="none"/>
          <w:u w:val="single"/>
          <w:lang w:val="en-US" w:eastAsia="zh-CN"/>
        </w:rPr>
        <w:t>1</w:t>
      </w:r>
      <w:r>
        <w:rPr>
          <w:rFonts w:hint="eastAsia" w:ascii="仿宋_GB2312" w:eastAsia="仿宋_GB2312"/>
          <w:bCs/>
          <w:kern w:val="44"/>
          <w:sz w:val="32"/>
          <w:szCs w:val="32"/>
          <w:highlight w:val="none"/>
        </w:rPr>
        <w:t>万元</w:t>
      </w:r>
      <w:r>
        <w:rPr>
          <w:rFonts w:hint="eastAsia"/>
          <w:lang w:val="en-US" w:eastAsia="zh-CN"/>
        </w:rPr>
        <w:t>、公务接待费</w:t>
      </w:r>
      <w:r>
        <w:rPr>
          <w:rFonts w:hint="eastAsia" w:ascii="仿宋_GB2312"/>
          <w:bCs/>
          <w:kern w:val="44"/>
          <w:sz w:val="32"/>
          <w:szCs w:val="32"/>
          <w:highlight w:val="none"/>
          <w:u w:val="single"/>
          <w:lang w:val="en-US" w:eastAsia="zh-CN"/>
        </w:rPr>
        <w:t>7.1</w:t>
      </w:r>
      <w:r>
        <w:rPr>
          <w:rFonts w:hint="eastAsia" w:ascii="仿宋_GB2312" w:eastAsia="仿宋_GB2312"/>
          <w:bCs/>
          <w:kern w:val="44"/>
          <w:sz w:val="32"/>
          <w:szCs w:val="32"/>
          <w:highlight w:val="none"/>
        </w:rPr>
        <w:t>万元</w:t>
      </w:r>
      <w:r>
        <w:rPr>
          <w:rFonts w:hint="eastAsia"/>
          <w:lang w:val="en-US" w:eastAsia="zh-CN"/>
        </w:rPr>
        <w:t>、专用材料费</w:t>
      </w:r>
      <w:r>
        <w:rPr>
          <w:rFonts w:hint="eastAsia" w:ascii="仿宋_GB2312"/>
          <w:bCs/>
          <w:kern w:val="44"/>
          <w:sz w:val="32"/>
          <w:szCs w:val="32"/>
          <w:highlight w:val="none"/>
          <w:u w:val="single"/>
          <w:lang w:val="en-US" w:eastAsia="zh-CN"/>
        </w:rPr>
        <w:t>329.87</w:t>
      </w:r>
      <w:r>
        <w:rPr>
          <w:rFonts w:hint="eastAsia" w:ascii="仿宋_GB2312" w:eastAsia="仿宋_GB2312"/>
          <w:bCs/>
          <w:kern w:val="44"/>
          <w:sz w:val="32"/>
          <w:szCs w:val="32"/>
          <w:highlight w:val="none"/>
        </w:rPr>
        <w:t>万元</w:t>
      </w:r>
      <w:r>
        <w:rPr>
          <w:rFonts w:hint="eastAsia"/>
          <w:lang w:val="en-US" w:eastAsia="zh-CN"/>
        </w:rPr>
        <w:t>、劳务费</w:t>
      </w:r>
      <w:r>
        <w:rPr>
          <w:rFonts w:hint="eastAsia" w:ascii="仿宋_GB2312"/>
          <w:bCs/>
          <w:kern w:val="44"/>
          <w:sz w:val="32"/>
          <w:szCs w:val="32"/>
          <w:highlight w:val="none"/>
          <w:u w:val="single"/>
          <w:lang w:val="en-US" w:eastAsia="zh-CN"/>
        </w:rPr>
        <w:t>40</w:t>
      </w:r>
      <w:r>
        <w:rPr>
          <w:rFonts w:hint="eastAsia" w:ascii="仿宋_GB2312" w:eastAsia="仿宋_GB2312"/>
          <w:bCs/>
          <w:kern w:val="44"/>
          <w:sz w:val="32"/>
          <w:szCs w:val="32"/>
          <w:highlight w:val="none"/>
        </w:rPr>
        <w:t>万元</w:t>
      </w:r>
      <w:r>
        <w:rPr>
          <w:rFonts w:hint="eastAsia"/>
          <w:lang w:val="en-US" w:eastAsia="zh-CN"/>
        </w:rPr>
        <w:t>、委托业务费</w:t>
      </w:r>
      <w:r>
        <w:rPr>
          <w:rFonts w:hint="eastAsia" w:ascii="仿宋_GB2312"/>
          <w:bCs/>
          <w:kern w:val="44"/>
          <w:sz w:val="32"/>
          <w:szCs w:val="32"/>
          <w:highlight w:val="none"/>
          <w:u w:val="single"/>
          <w:lang w:val="en-US" w:eastAsia="zh-CN"/>
        </w:rPr>
        <w:t>19.45</w:t>
      </w:r>
      <w:r>
        <w:rPr>
          <w:rFonts w:hint="eastAsia" w:ascii="仿宋_GB2312" w:eastAsia="仿宋_GB2312"/>
          <w:bCs/>
          <w:kern w:val="44"/>
          <w:sz w:val="32"/>
          <w:szCs w:val="32"/>
          <w:highlight w:val="none"/>
        </w:rPr>
        <w:t>万元</w:t>
      </w:r>
      <w:r>
        <w:rPr>
          <w:rFonts w:hint="eastAsia"/>
          <w:lang w:val="en-US" w:eastAsia="zh-CN"/>
        </w:rPr>
        <w:t>、工会经费</w:t>
      </w:r>
      <w:r>
        <w:rPr>
          <w:rFonts w:hint="eastAsia" w:ascii="仿宋_GB2312"/>
          <w:bCs/>
          <w:kern w:val="44"/>
          <w:sz w:val="32"/>
          <w:szCs w:val="32"/>
          <w:highlight w:val="none"/>
          <w:u w:val="single"/>
          <w:lang w:val="en-US" w:eastAsia="zh-CN"/>
        </w:rPr>
        <w:t>79.32</w:t>
      </w:r>
      <w:r>
        <w:rPr>
          <w:rFonts w:hint="eastAsia" w:ascii="仿宋_GB2312" w:eastAsia="仿宋_GB2312"/>
          <w:bCs/>
          <w:kern w:val="44"/>
          <w:sz w:val="32"/>
          <w:szCs w:val="32"/>
          <w:highlight w:val="none"/>
        </w:rPr>
        <w:t>万元</w:t>
      </w:r>
      <w:r>
        <w:rPr>
          <w:rFonts w:hint="eastAsia"/>
          <w:lang w:val="en-US" w:eastAsia="zh-CN"/>
        </w:rPr>
        <w:t>、福利费</w:t>
      </w:r>
      <w:r>
        <w:rPr>
          <w:rFonts w:hint="eastAsia" w:ascii="仿宋_GB2312"/>
          <w:bCs/>
          <w:kern w:val="44"/>
          <w:sz w:val="32"/>
          <w:szCs w:val="32"/>
          <w:highlight w:val="none"/>
          <w:u w:val="single"/>
          <w:lang w:val="en-US" w:eastAsia="zh-CN"/>
        </w:rPr>
        <w:t>145.91</w:t>
      </w:r>
      <w:r>
        <w:rPr>
          <w:rFonts w:hint="eastAsia" w:ascii="仿宋_GB2312" w:eastAsia="仿宋_GB2312"/>
          <w:bCs/>
          <w:kern w:val="44"/>
          <w:sz w:val="32"/>
          <w:szCs w:val="32"/>
          <w:highlight w:val="none"/>
        </w:rPr>
        <w:t>万元</w:t>
      </w:r>
      <w:r>
        <w:rPr>
          <w:rFonts w:hint="eastAsia"/>
          <w:lang w:val="en-US" w:eastAsia="zh-CN"/>
        </w:rPr>
        <w:t>、公务用车运行维护费</w:t>
      </w:r>
      <w:r>
        <w:rPr>
          <w:rFonts w:hint="eastAsia" w:ascii="仿宋_GB2312"/>
          <w:bCs/>
          <w:kern w:val="44"/>
          <w:sz w:val="32"/>
          <w:szCs w:val="32"/>
          <w:highlight w:val="none"/>
          <w:u w:val="single"/>
          <w:lang w:val="en-US" w:eastAsia="zh-CN"/>
        </w:rPr>
        <w:t>12</w:t>
      </w:r>
      <w:r>
        <w:rPr>
          <w:rFonts w:hint="eastAsia" w:ascii="仿宋_GB2312" w:eastAsia="仿宋_GB2312"/>
          <w:bCs/>
          <w:kern w:val="44"/>
          <w:sz w:val="32"/>
          <w:szCs w:val="32"/>
          <w:highlight w:val="none"/>
        </w:rPr>
        <w:t>万元</w:t>
      </w:r>
      <w:r>
        <w:rPr>
          <w:rFonts w:hint="eastAsia"/>
          <w:lang w:val="en-US" w:eastAsia="zh-CN"/>
        </w:rPr>
        <w:t>、其他交通费用</w:t>
      </w:r>
      <w:r>
        <w:rPr>
          <w:rFonts w:hint="eastAsia" w:ascii="仿宋_GB2312"/>
          <w:bCs/>
          <w:kern w:val="44"/>
          <w:sz w:val="32"/>
          <w:szCs w:val="32"/>
          <w:highlight w:val="none"/>
          <w:u w:val="single"/>
          <w:lang w:val="en-US" w:eastAsia="zh-CN"/>
        </w:rPr>
        <w:t>63.79</w:t>
      </w:r>
      <w:r>
        <w:rPr>
          <w:rFonts w:hint="eastAsia" w:ascii="仿宋_GB2312" w:eastAsia="仿宋_GB2312"/>
          <w:bCs/>
          <w:kern w:val="44"/>
          <w:sz w:val="32"/>
          <w:szCs w:val="32"/>
          <w:highlight w:val="none"/>
        </w:rPr>
        <w:t>万元</w:t>
      </w:r>
      <w:r>
        <w:rPr>
          <w:rFonts w:hint="eastAsia"/>
          <w:lang w:val="en-US" w:eastAsia="zh-CN"/>
        </w:rPr>
        <w:t>、税金及附加费用</w:t>
      </w:r>
      <w:r>
        <w:rPr>
          <w:rFonts w:hint="eastAsia" w:ascii="仿宋_GB2312"/>
          <w:bCs/>
          <w:kern w:val="44"/>
          <w:sz w:val="32"/>
          <w:szCs w:val="32"/>
          <w:highlight w:val="none"/>
          <w:u w:val="single"/>
          <w:lang w:val="en-US" w:eastAsia="zh-CN"/>
        </w:rPr>
        <w:t>9</w:t>
      </w:r>
      <w:r>
        <w:rPr>
          <w:rFonts w:hint="eastAsia" w:ascii="仿宋_GB2312" w:eastAsia="仿宋_GB2312"/>
          <w:bCs/>
          <w:kern w:val="44"/>
          <w:sz w:val="32"/>
          <w:szCs w:val="32"/>
          <w:highlight w:val="none"/>
        </w:rPr>
        <w:t>万元</w:t>
      </w:r>
      <w:r>
        <w:rPr>
          <w:rFonts w:hint="eastAsia"/>
          <w:lang w:val="en-US" w:eastAsia="zh-CN"/>
        </w:rPr>
        <w:t>、其他商品和服务支出</w:t>
      </w:r>
      <w:r>
        <w:rPr>
          <w:rFonts w:hint="eastAsia" w:ascii="仿宋_GB2312"/>
          <w:bCs/>
          <w:kern w:val="44"/>
          <w:sz w:val="32"/>
          <w:szCs w:val="32"/>
          <w:highlight w:val="none"/>
          <w:u w:val="single"/>
          <w:lang w:val="en-US" w:eastAsia="zh-CN"/>
        </w:rPr>
        <w:t>144.06</w:t>
      </w:r>
      <w:r>
        <w:rPr>
          <w:rFonts w:hint="eastAsia" w:ascii="仿宋_GB2312" w:eastAsia="仿宋_GB2312"/>
          <w:bCs/>
          <w:kern w:val="44"/>
          <w:sz w:val="32"/>
          <w:szCs w:val="32"/>
          <w:highlight w:val="none"/>
        </w:rPr>
        <w:t>万元</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第五部分  一般公共预算“三公”经费支出情况说明 </w:t>
      </w:r>
    </w:p>
    <w:p>
      <w:pPr>
        <w:keepNext w:val="0"/>
        <w:keepLines w:val="0"/>
        <w:pageBreakBefore w:val="0"/>
        <w:widowControl w:val="0"/>
        <w:numPr>
          <w:ilvl w:val="0"/>
          <w:numId w:val="0"/>
        </w:numPr>
        <w:kinsoku/>
        <w:wordWrap/>
        <w:overflowPunct/>
        <w:topLinePunct w:val="0"/>
        <w:autoSpaceDE/>
        <w:autoSpaceDN/>
        <w:bidi w:val="0"/>
        <w:spacing w:line="500" w:lineRule="exact"/>
        <w:ind w:left="640" w:leftChars="200" w:right="0" w:rightChars="0" w:firstLine="0" w:firstLineChars="0"/>
        <w:jc w:val="both"/>
        <w:textAlignment w:val="auto"/>
        <w:outlineLvl w:val="9"/>
        <w:rPr>
          <w:rFonts w:hint="default"/>
          <w:b/>
          <w:bCs/>
          <w:lang w:val="en-US" w:eastAsia="zh-CN"/>
        </w:rPr>
      </w:pPr>
      <w:r>
        <w:rPr>
          <w:rFonts w:hint="eastAsia"/>
          <w:b/>
          <w:bCs/>
          <w:lang w:val="en-US" w:eastAsia="zh-CN"/>
        </w:rPr>
        <w:t>（一）一般公共预算“三公”经费支出总体情况说明。</w:t>
      </w:r>
    </w:p>
    <w:p>
      <w:pPr>
        <w:keepNext w:val="0"/>
        <w:keepLines w:val="0"/>
        <w:pageBreakBefore w:val="0"/>
        <w:widowControl w:val="0"/>
        <w:numPr>
          <w:ilvl w:val="0"/>
          <w:numId w:val="0"/>
        </w:numPr>
        <w:kinsoku/>
        <w:wordWrap/>
        <w:overflowPunct/>
        <w:topLinePunct w:val="0"/>
        <w:autoSpaceDE/>
        <w:autoSpaceDN/>
        <w:bidi w:val="0"/>
        <w:spacing w:line="500" w:lineRule="exact"/>
        <w:ind w:right="0" w:rightChars="0" w:firstLine="640" w:firstLineChars="200"/>
        <w:jc w:val="both"/>
        <w:textAlignment w:val="auto"/>
        <w:outlineLvl w:val="9"/>
        <w:rPr>
          <w:rFonts w:hint="eastAsia"/>
          <w:highlight w:val="none"/>
          <w:lang w:val="en-US" w:eastAsia="zh-CN"/>
        </w:rPr>
      </w:pPr>
      <w:r>
        <w:rPr>
          <w:rFonts w:hint="eastAsia"/>
          <w:lang w:val="en-US" w:eastAsia="zh-CN"/>
        </w:rPr>
        <w:t>2024年“三公”经费一般公共预算</w:t>
      </w:r>
      <w:r>
        <w:rPr>
          <w:rFonts w:hint="eastAsia"/>
          <w:u w:val="single"/>
          <w:lang w:val="en-US" w:eastAsia="zh-CN"/>
        </w:rPr>
        <w:t>34.5</w:t>
      </w:r>
      <w:r>
        <w:rPr>
          <w:rFonts w:hint="eastAsia"/>
          <w:lang w:val="en-US" w:eastAsia="zh-CN"/>
        </w:rPr>
        <w:t>万元，比上年预算</w:t>
      </w:r>
      <w:r>
        <w:rPr>
          <w:rFonts w:hint="eastAsia" w:ascii="仿宋_GB2312" w:eastAsia="仿宋_GB2312"/>
          <w:bCs/>
          <w:kern w:val="44"/>
          <w:sz w:val="32"/>
          <w:szCs w:val="32"/>
          <w:highlight w:val="none"/>
        </w:rPr>
        <w:t>减少</w:t>
      </w:r>
      <w:r>
        <w:rPr>
          <w:rFonts w:hint="eastAsia" w:ascii="仿宋_GB2312"/>
          <w:bCs/>
          <w:kern w:val="44"/>
          <w:sz w:val="32"/>
          <w:szCs w:val="32"/>
          <w:highlight w:val="none"/>
          <w:lang w:val="en-US" w:eastAsia="zh-CN"/>
        </w:rPr>
        <w:t>12.43</w:t>
      </w:r>
      <w:r>
        <w:rPr>
          <w:rFonts w:hint="eastAsia" w:ascii="仿宋_GB2312" w:eastAsia="仿宋_GB2312"/>
          <w:bCs/>
          <w:kern w:val="44"/>
          <w:sz w:val="32"/>
          <w:szCs w:val="32"/>
          <w:highlight w:val="none"/>
        </w:rPr>
        <w:t>万元，</w:t>
      </w:r>
      <w:r>
        <w:rPr>
          <w:rFonts w:hint="eastAsia" w:ascii="仿宋_GB2312" w:eastAsia="仿宋_GB2312"/>
          <w:bCs/>
          <w:kern w:val="44"/>
          <w:sz w:val="32"/>
          <w:szCs w:val="32"/>
          <w:highlight w:val="none"/>
          <w:lang w:eastAsia="zh-CN"/>
        </w:rPr>
        <w:t>下降</w:t>
      </w:r>
      <w:r>
        <w:rPr>
          <w:rFonts w:hint="eastAsia" w:ascii="仿宋_GB2312"/>
          <w:bCs/>
          <w:kern w:val="44"/>
          <w:sz w:val="32"/>
          <w:szCs w:val="32"/>
          <w:highlight w:val="none"/>
          <w:lang w:val="en-US" w:eastAsia="zh-CN"/>
        </w:rPr>
        <w:t>26.49</w:t>
      </w:r>
      <w:r>
        <w:rPr>
          <w:rFonts w:hint="eastAsia" w:ascii="仿宋_GB2312" w:eastAsia="仿宋_GB2312"/>
          <w:bCs/>
          <w:kern w:val="44"/>
          <w:sz w:val="32"/>
          <w:szCs w:val="32"/>
          <w:highlight w:val="none"/>
        </w:rPr>
        <w:t>%。</w:t>
      </w:r>
      <w:r>
        <w:rPr>
          <w:rFonts w:hint="eastAsia"/>
          <w:lang w:val="en-US" w:eastAsia="zh-CN"/>
        </w:rPr>
        <w:t>主要原因：</w:t>
      </w:r>
      <w:r>
        <w:rPr>
          <w:rFonts w:hint="eastAsia"/>
          <w:highlight w:val="none"/>
          <w:lang w:val="en-US" w:eastAsia="zh-CN"/>
        </w:rPr>
        <w:t>本年无公务用车购置费支出。</w:t>
      </w:r>
    </w:p>
    <w:p>
      <w:pPr>
        <w:keepNext w:val="0"/>
        <w:keepLines w:val="0"/>
        <w:pageBreakBefore w:val="0"/>
        <w:widowControl w:val="0"/>
        <w:numPr>
          <w:ilvl w:val="0"/>
          <w:numId w:val="0"/>
        </w:numPr>
        <w:kinsoku/>
        <w:wordWrap/>
        <w:overflowPunct/>
        <w:topLinePunct w:val="0"/>
        <w:autoSpaceDE/>
        <w:autoSpaceDN/>
        <w:bidi w:val="0"/>
        <w:spacing w:line="500" w:lineRule="exact"/>
        <w:ind w:leftChars="200" w:right="0" w:rightChars="0"/>
        <w:jc w:val="both"/>
        <w:textAlignment w:val="auto"/>
        <w:outlineLvl w:val="9"/>
        <w:rPr>
          <w:rFonts w:hint="eastAsia"/>
          <w:b/>
          <w:bCs/>
          <w:lang w:val="en-US" w:eastAsia="zh-CN"/>
        </w:rPr>
      </w:pPr>
      <w:r>
        <w:rPr>
          <w:rFonts w:hint="eastAsia"/>
          <w:b/>
          <w:bCs/>
          <w:lang w:val="en-US" w:eastAsia="zh-CN"/>
        </w:rPr>
        <w:t>（二）一般公共预算“三公”经费支出具体情况说明。</w:t>
      </w:r>
    </w:p>
    <w:p>
      <w:pPr>
        <w:numPr>
          <w:ilvl w:val="0"/>
          <w:numId w:val="0"/>
        </w:numPr>
        <w:bidi w:val="0"/>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因公出国(境)费</w:t>
      </w:r>
      <w:r>
        <w:rPr>
          <w:rFonts w:hint="eastAsia" w:ascii="仿宋_GB2312" w:hAnsi="仿宋_GB2312" w:eastAsia="仿宋_GB2312" w:cs="仿宋_GB2312"/>
          <w:szCs w:val="32"/>
          <w:lang w:val="en-US" w:eastAsia="zh-CN"/>
        </w:rPr>
        <w:t>预算0万元，比上年预算</w:t>
      </w:r>
      <w:r>
        <w:rPr>
          <w:rFonts w:hint="eastAsia" w:ascii="仿宋_GB2312" w:hAnsi="仿宋_GB2312" w:eastAsia="仿宋_GB2312" w:cs="仿宋_GB2312"/>
          <w:szCs w:val="32"/>
        </w:rPr>
        <w:t>增加</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rPr>
        <w:t>万元，增长</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与上年对比无增减变化，与上年预算持平</w:t>
      </w:r>
      <w:r>
        <w:rPr>
          <w:rFonts w:hint="eastAsia" w:ascii="仿宋_GB2312" w:hAnsi="仿宋_GB2312" w:eastAsia="仿宋_GB2312" w:cs="仿宋_GB2312"/>
          <w:szCs w:val="32"/>
        </w:rPr>
        <w:t>。</w:t>
      </w:r>
    </w:p>
    <w:p>
      <w:pPr>
        <w:numPr>
          <w:ilvl w:val="0"/>
          <w:numId w:val="0"/>
        </w:numPr>
        <w:bidi w:val="0"/>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公务用车购置及运行费</w:t>
      </w:r>
      <w:r>
        <w:rPr>
          <w:rFonts w:hint="eastAsia" w:ascii="仿宋_GB2312" w:hAnsi="仿宋_GB2312" w:eastAsia="仿宋_GB2312" w:cs="仿宋_GB2312"/>
          <w:szCs w:val="32"/>
          <w:lang w:eastAsia="zh-CN"/>
        </w:rPr>
        <w:t>预算</w:t>
      </w:r>
      <w:r>
        <w:rPr>
          <w:rFonts w:hint="eastAsia" w:ascii="仿宋_GB2312" w:hAnsi="仿宋_GB2312" w:eastAsia="仿宋_GB2312" w:cs="仿宋_GB2312"/>
          <w:szCs w:val="32"/>
          <w:lang w:val="en-US" w:eastAsia="zh-CN"/>
        </w:rPr>
        <w:t>27.4</w:t>
      </w:r>
      <w:r>
        <w:rPr>
          <w:rFonts w:hint="eastAsia" w:ascii="仿宋_GB2312" w:hAnsi="仿宋_GB2312" w:eastAsia="仿宋_GB2312" w:cs="仿宋_GB2312"/>
          <w:szCs w:val="32"/>
        </w:rPr>
        <w:t>万元，</w:t>
      </w:r>
      <w:r>
        <w:rPr>
          <w:rFonts w:hint="eastAsia" w:ascii="仿宋_GB2312" w:hAnsi="仿宋_GB2312" w:eastAsia="仿宋_GB2312" w:cs="仿宋_GB2312"/>
          <w:szCs w:val="32"/>
          <w:lang w:val="en-US" w:eastAsia="zh-CN"/>
        </w:rPr>
        <w:t>比上年预算</w:t>
      </w:r>
      <w:r>
        <w:rPr>
          <w:rFonts w:hint="eastAsia" w:ascii="仿宋_GB2312" w:hAnsi="仿宋_GB2312" w:eastAsia="仿宋_GB2312" w:cs="仿宋_GB2312"/>
          <w:szCs w:val="32"/>
        </w:rPr>
        <w:t>减少</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rPr>
        <w:t>万元，</w:t>
      </w:r>
      <w:r>
        <w:rPr>
          <w:rFonts w:hint="eastAsia" w:ascii="仿宋_GB2312" w:hAnsi="仿宋_GB2312" w:eastAsia="仿宋_GB2312" w:cs="仿宋_GB2312"/>
          <w:szCs w:val="32"/>
          <w:lang w:eastAsia="zh-CN"/>
        </w:rPr>
        <w:t>下降</w:t>
      </w:r>
      <w:r>
        <w:rPr>
          <w:rFonts w:hint="eastAsia" w:ascii="仿宋_GB2312" w:hAnsi="仿宋_GB2312" w:eastAsia="仿宋_GB2312" w:cs="仿宋_GB2312"/>
          <w:szCs w:val="32"/>
          <w:lang w:val="en-US" w:eastAsia="zh-CN"/>
        </w:rPr>
        <w:t>35.38</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其中：</w:t>
      </w:r>
    </w:p>
    <w:p>
      <w:pPr>
        <w:numPr>
          <w:ilvl w:val="0"/>
          <w:numId w:val="0"/>
        </w:numPr>
        <w:bidi w:val="0"/>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(1)公务用车购置费</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rPr>
        <w:t>万元，</w:t>
      </w:r>
      <w:r>
        <w:rPr>
          <w:rFonts w:hint="eastAsia" w:ascii="仿宋_GB2312" w:hAnsi="仿宋_GB2312" w:eastAsia="仿宋_GB2312" w:cs="仿宋_GB2312"/>
          <w:szCs w:val="32"/>
          <w:lang w:val="en-US" w:eastAsia="zh-CN"/>
        </w:rPr>
        <w:t>比上年预算</w:t>
      </w:r>
      <w:r>
        <w:rPr>
          <w:rFonts w:hint="eastAsia" w:ascii="仿宋_GB2312" w:hAnsi="仿宋_GB2312" w:eastAsia="仿宋_GB2312" w:cs="仿宋_GB2312"/>
          <w:szCs w:val="32"/>
          <w:lang w:eastAsia="zh-CN"/>
        </w:rPr>
        <w:t>减少</w:t>
      </w:r>
      <w:r>
        <w:rPr>
          <w:rFonts w:hint="eastAsia" w:ascii="仿宋_GB2312" w:hAnsi="仿宋_GB2312" w:eastAsia="仿宋_GB2312" w:cs="仿宋_GB2312"/>
          <w:szCs w:val="32"/>
          <w:lang w:val="en-US" w:eastAsia="zh-CN"/>
        </w:rPr>
        <w:t>18</w:t>
      </w:r>
      <w:r>
        <w:rPr>
          <w:rFonts w:hint="eastAsia" w:ascii="仿宋_GB2312" w:hAnsi="仿宋_GB2312" w:eastAsia="仿宋_GB2312" w:cs="仿宋_GB2312"/>
          <w:szCs w:val="32"/>
        </w:rPr>
        <w:t>万元，</w:t>
      </w:r>
      <w:r>
        <w:rPr>
          <w:rFonts w:hint="eastAsia" w:ascii="仿宋_GB2312" w:hAnsi="仿宋_GB2312" w:eastAsia="仿宋_GB2312" w:cs="仿宋_GB2312"/>
          <w:szCs w:val="32"/>
          <w:lang w:eastAsia="zh-CN"/>
        </w:rPr>
        <w:t>下降</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主要原因是</w:t>
      </w:r>
      <w:r>
        <w:rPr>
          <w:rFonts w:hint="eastAsia" w:ascii="仿宋_GB2312" w:hAnsi="仿宋_GB2312" w:eastAsia="仿宋_GB2312" w:cs="仿宋_GB2312"/>
          <w:szCs w:val="32"/>
          <w:lang w:eastAsia="zh-CN"/>
        </w:rPr>
        <w:t>上年预算更新一辆公务用车本年无</w:t>
      </w:r>
      <w:r>
        <w:rPr>
          <w:rFonts w:hint="eastAsia" w:ascii="仿宋_GB2312" w:hAnsi="仿宋_GB2312" w:eastAsia="仿宋_GB2312" w:cs="仿宋_GB2312"/>
          <w:szCs w:val="32"/>
        </w:rPr>
        <w:t>。</w:t>
      </w:r>
    </w:p>
    <w:p>
      <w:pPr>
        <w:numPr>
          <w:ilvl w:val="0"/>
          <w:numId w:val="0"/>
        </w:numPr>
        <w:bidi w:val="0"/>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(2)公务用车运行费</w:t>
      </w:r>
      <w:r>
        <w:rPr>
          <w:rFonts w:hint="eastAsia" w:ascii="仿宋_GB2312" w:hAnsi="仿宋_GB2312" w:eastAsia="仿宋_GB2312" w:cs="仿宋_GB2312"/>
          <w:szCs w:val="32"/>
          <w:lang w:val="en-US" w:eastAsia="zh-CN"/>
        </w:rPr>
        <w:t>27.4</w:t>
      </w:r>
      <w:r>
        <w:rPr>
          <w:rFonts w:hint="eastAsia" w:ascii="仿宋_GB2312" w:hAnsi="仿宋_GB2312" w:eastAsia="仿宋_GB2312" w:cs="仿宋_GB2312"/>
          <w:szCs w:val="32"/>
        </w:rPr>
        <w:t>万元，</w:t>
      </w:r>
      <w:r>
        <w:rPr>
          <w:rFonts w:hint="eastAsia" w:ascii="仿宋_GB2312" w:hAnsi="仿宋_GB2312" w:eastAsia="仿宋_GB2312" w:cs="仿宋_GB2312"/>
          <w:szCs w:val="32"/>
          <w:lang w:val="en-US" w:eastAsia="zh-CN"/>
        </w:rPr>
        <w:t>比上年预算</w:t>
      </w:r>
      <w:r>
        <w:rPr>
          <w:rFonts w:hint="eastAsia" w:ascii="仿宋_GB2312" w:hAnsi="仿宋_GB2312" w:eastAsia="仿宋_GB2312" w:cs="仿宋_GB2312"/>
          <w:szCs w:val="32"/>
        </w:rPr>
        <w:t>增加</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万元，增长</w:t>
      </w:r>
      <w:r>
        <w:rPr>
          <w:rFonts w:hint="eastAsia" w:ascii="仿宋_GB2312" w:hAnsi="仿宋_GB2312" w:eastAsia="仿宋_GB2312" w:cs="仿宋_GB2312"/>
          <w:szCs w:val="32"/>
          <w:lang w:val="en-US" w:eastAsia="zh-CN"/>
        </w:rPr>
        <w:t>12.3</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主要原因是</w:t>
      </w:r>
      <w:r>
        <w:rPr>
          <w:rFonts w:hint="eastAsia" w:ascii="仿宋_GB2312" w:hAnsi="仿宋_GB2312" w:eastAsia="仿宋_GB2312" w:cs="仿宋_GB2312"/>
          <w:szCs w:val="32"/>
          <w:lang w:eastAsia="zh-CN"/>
        </w:rPr>
        <w:t>本年公务用车数量增加一辆</w:t>
      </w:r>
      <w:r>
        <w:rPr>
          <w:rFonts w:hint="eastAsia" w:ascii="仿宋_GB2312" w:hAnsi="仿宋_GB2312" w:eastAsia="仿宋_GB2312" w:cs="仿宋_GB2312"/>
          <w:szCs w:val="32"/>
        </w:rPr>
        <w:t>。</w:t>
      </w:r>
    </w:p>
    <w:p>
      <w:pPr>
        <w:numPr>
          <w:ilvl w:val="0"/>
          <w:numId w:val="0"/>
        </w:numPr>
        <w:bidi w:val="0"/>
        <w:rPr>
          <w:rFonts w:hint="default" w:ascii="仿宋_GB2312" w:eastAsia="仿宋_GB2312"/>
          <w:color w:val="000000"/>
          <w:sz w:val="32"/>
          <w:szCs w:val="32"/>
          <w:highlight w:val="none"/>
          <w:u w:val="none"/>
          <w:lang w:val="en-US" w:eastAsia="zh-CN"/>
        </w:rPr>
      </w:pPr>
      <w:r>
        <w:rPr>
          <w:rFonts w:hint="eastAsia" w:ascii="仿宋_GB2312" w:hAnsi="仿宋_GB2312" w:eastAsia="仿宋_GB2312" w:cs="仿宋_GB2312"/>
          <w:szCs w:val="32"/>
        </w:rPr>
        <w:t>3</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公务接待费</w:t>
      </w:r>
      <w:r>
        <w:rPr>
          <w:rFonts w:hint="eastAsia" w:ascii="仿宋_GB2312" w:hAnsi="仿宋_GB2312" w:eastAsia="仿宋_GB2312" w:cs="仿宋_GB2312"/>
          <w:szCs w:val="32"/>
          <w:lang w:eastAsia="zh-CN"/>
        </w:rPr>
        <w:t>预算</w:t>
      </w:r>
      <w:r>
        <w:rPr>
          <w:rFonts w:hint="eastAsia" w:ascii="仿宋_GB2312" w:hAnsi="仿宋_GB2312" w:eastAsia="仿宋_GB2312" w:cs="仿宋_GB2312"/>
          <w:szCs w:val="32"/>
          <w:lang w:val="en-US" w:eastAsia="zh-CN"/>
        </w:rPr>
        <w:t>7.1</w:t>
      </w:r>
      <w:r>
        <w:rPr>
          <w:rFonts w:hint="eastAsia" w:ascii="仿宋_GB2312" w:hAnsi="仿宋_GB2312" w:eastAsia="仿宋_GB2312" w:cs="仿宋_GB2312"/>
          <w:szCs w:val="32"/>
        </w:rPr>
        <w:t>万元，</w:t>
      </w:r>
      <w:r>
        <w:rPr>
          <w:rFonts w:hint="eastAsia" w:ascii="仿宋_GB2312" w:hAnsi="仿宋_GB2312" w:eastAsia="仿宋_GB2312" w:cs="仿宋_GB2312"/>
          <w:szCs w:val="32"/>
          <w:lang w:val="en-US" w:eastAsia="zh-CN"/>
        </w:rPr>
        <w:t>比上年预算</w:t>
      </w:r>
      <w:r>
        <w:rPr>
          <w:rFonts w:hint="eastAsia" w:ascii="仿宋_GB2312" w:hAnsi="仿宋_GB2312" w:eastAsia="仿宋_GB2312" w:cs="仿宋_GB2312"/>
          <w:szCs w:val="32"/>
        </w:rPr>
        <w:t>增加</w:t>
      </w:r>
      <w:r>
        <w:rPr>
          <w:rFonts w:hint="eastAsia" w:ascii="仿宋_GB2312" w:hAnsi="仿宋_GB2312" w:eastAsia="仿宋_GB2312" w:cs="仿宋_GB2312"/>
          <w:szCs w:val="32"/>
          <w:lang w:val="en-US" w:eastAsia="zh-CN"/>
        </w:rPr>
        <w:t>2.57</w:t>
      </w:r>
      <w:r>
        <w:rPr>
          <w:rFonts w:hint="eastAsia" w:ascii="仿宋_GB2312" w:hAnsi="仿宋_GB2312" w:eastAsia="仿宋_GB2312" w:cs="仿宋_GB2312"/>
          <w:szCs w:val="32"/>
        </w:rPr>
        <w:t>万元，增长</w:t>
      </w:r>
      <w:r>
        <w:rPr>
          <w:rFonts w:hint="eastAsia" w:ascii="仿宋_GB2312" w:hAnsi="仿宋_GB2312" w:eastAsia="仿宋_GB2312" w:cs="仿宋_GB2312"/>
          <w:szCs w:val="32"/>
          <w:lang w:val="en-US" w:eastAsia="zh-CN"/>
        </w:rPr>
        <w:t>56.73</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主要原因是</w:t>
      </w:r>
      <w:r>
        <w:rPr>
          <w:rFonts w:hint="eastAsia" w:ascii="仿宋_GB2312" w:hAnsi="仿宋_GB2312" w:eastAsia="仿宋_GB2312" w:cs="仿宋_GB2312"/>
          <w:szCs w:val="32"/>
          <w:lang w:eastAsia="zh-CN"/>
        </w:rPr>
        <w:t>本年预计接待批次人次增加</w:t>
      </w:r>
      <w:r>
        <w:rPr>
          <w:rFonts w:hint="eastAsia" w:ascii="仿宋_GB2312" w:hAnsi="仿宋_GB2312" w:eastAsia="仿宋_GB2312" w:cs="仿宋_GB2312"/>
          <w:szCs w:val="32"/>
        </w:rPr>
        <w:t>。</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第六部分  </w:t>
      </w:r>
      <w:r>
        <w:rPr>
          <w:rFonts w:hint="default" w:ascii="黑体" w:hAnsi="黑体" w:eastAsia="黑体" w:cs="黑体"/>
          <w:b/>
          <w:bCs/>
          <w:sz w:val="32"/>
          <w:szCs w:val="32"/>
          <w:u w:val="none"/>
          <w:lang w:val="en-US" w:eastAsia="zh-CN"/>
        </w:rPr>
        <w:t>政府采购</w:t>
      </w:r>
      <w:r>
        <w:rPr>
          <w:rFonts w:hint="eastAsia" w:ascii="黑体" w:hAnsi="黑体" w:eastAsia="黑体" w:cs="黑体"/>
          <w:b/>
          <w:bCs/>
          <w:sz w:val="32"/>
          <w:szCs w:val="32"/>
          <w:u w:val="none"/>
          <w:lang w:val="en-US" w:eastAsia="zh-CN"/>
        </w:rPr>
        <w:t>安排情况</w:t>
      </w:r>
      <w:r>
        <w:rPr>
          <w:rFonts w:hint="default" w:ascii="黑体" w:hAnsi="黑体" w:eastAsia="黑体" w:cs="黑体"/>
          <w:b/>
          <w:bCs/>
          <w:sz w:val="32"/>
          <w:szCs w:val="32"/>
          <w:u w:val="none"/>
          <w:lang w:val="en-US" w:eastAsia="zh-CN"/>
        </w:rPr>
        <w:t>说明</w:t>
      </w:r>
    </w:p>
    <w:p>
      <w:pPr>
        <w:numPr>
          <w:ilvl w:val="0"/>
          <w:numId w:val="0"/>
        </w:numPr>
        <w:bidi w:val="0"/>
        <w:ind w:firstLine="640" w:firstLineChars="200"/>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2024年本部门单位</w:t>
      </w:r>
      <w:r>
        <w:rPr>
          <w:rFonts w:hint="default" w:ascii="仿宋_GB2312" w:hAnsi="仿宋_GB2312" w:eastAsia="仿宋_GB2312" w:cs="仿宋_GB2312"/>
          <w:szCs w:val="32"/>
          <w:lang w:val="en-US" w:eastAsia="zh-CN"/>
        </w:rPr>
        <w:t>编制政府采购预算</w:t>
      </w:r>
      <w:r>
        <w:rPr>
          <w:rFonts w:hint="eastAsia" w:ascii="仿宋_GB2312" w:hAnsi="仿宋_GB2312" w:eastAsia="仿宋_GB2312" w:cs="仿宋_GB2312"/>
          <w:szCs w:val="32"/>
          <w:lang w:val="en-US" w:eastAsia="zh-CN"/>
        </w:rPr>
        <w:t>378.45万元，比上年增加164.9万元，</w:t>
      </w:r>
      <w:r>
        <w:rPr>
          <w:rFonts w:hint="eastAsia" w:ascii="仿宋_GB2312" w:hAnsi="仿宋_GB2312" w:eastAsia="仿宋_GB2312" w:cs="仿宋_GB2312"/>
          <w:szCs w:val="32"/>
          <w:lang w:eastAsia="zh-CN"/>
        </w:rPr>
        <w:t>增长</w:t>
      </w:r>
      <w:r>
        <w:rPr>
          <w:rFonts w:hint="eastAsia" w:ascii="仿宋_GB2312" w:hAnsi="仿宋_GB2312" w:eastAsia="仿宋_GB2312" w:cs="仿宋_GB2312"/>
          <w:szCs w:val="32"/>
          <w:lang w:val="en-US" w:eastAsia="zh-CN"/>
        </w:rPr>
        <w:t>77.22</w:t>
      </w:r>
      <w:r>
        <w:rPr>
          <w:rFonts w:hint="eastAsia" w:ascii="仿宋_GB2312" w:hAnsi="仿宋_GB2312" w:eastAsia="仿宋_GB2312" w:cs="仿宋_GB2312"/>
          <w:szCs w:val="32"/>
          <w:lang w:eastAsia="zh-CN"/>
        </w:rPr>
        <w:t>%</w:t>
      </w:r>
      <w:r>
        <w:rPr>
          <w:rFonts w:hint="default" w:ascii="仿宋_GB2312" w:hAnsi="仿宋_GB2312" w:eastAsia="仿宋_GB2312" w:cs="仿宋_GB2312"/>
          <w:szCs w:val="32"/>
          <w:lang w:val="en-US" w:eastAsia="zh-CN"/>
        </w:rPr>
        <w:t>。增加的主要原因：</w:t>
      </w:r>
      <w:r>
        <w:rPr>
          <w:rFonts w:hint="eastAsia" w:ascii="仿宋_GB2312" w:hAnsi="仿宋_GB2312" w:eastAsia="仿宋_GB2312" w:cs="仿宋_GB2312"/>
          <w:szCs w:val="32"/>
          <w:lang w:val="en-US" w:eastAsia="zh-CN"/>
        </w:rPr>
        <w:t>增加</w:t>
      </w:r>
      <w:r>
        <w:rPr>
          <w:rFonts w:hint="eastAsia" w:ascii="仿宋_GB2312" w:hAnsi="仿宋_GB2312" w:eastAsia="仿宋_GB2312" w:cs="仿宋_GB2312"/>
          <w:szCs w:val="32"/>
          <w:lang w:eastAsia="zh-CN"/>
        </w:rPr>
        <w:t>医疗设备、</w:t>
      </w:r>
      <w:r>
        <w:rPr>
          <w:rFonts w:hint="eastAsia" w:ascii="仿宋_GB2312" w:hAnsi="仿宋_GB2312" w:eastAsia="仿宋_GB2312" w:cs="仿宋_GB2312"/>
          <w:szCs w:val="32"/>
        </w:rPr>
        <w:t>办公电脑</w:t>
      </w:r>
      <w:r>
        <w:rPr>
          <w:rFonts w:hint="eastAsia" w:ascii="仿宋_GB2312" w:hAnsi="仿宋_GB2312" w:eastAsia="仿宋_GB2312" w:cs="仿宋_GB2312"/>
          <w:szCs w:val="32"/>
          <w:lang w:eastAsia="zh-CN"/>
        </w:rPr>
        <w:t>等采购预算支出</w:t>
      </w:r>
      <w:r>
        <w:rPr>
          <w:rFonts w:hint="default" w:ascii="仿宋_GB2312" w:hAnsi="仿宋_GB2312" w:eastAsia="仿宋_GB2312" w:cs="仿宋_GB2312"/>
          <w:szCs w:val="32"/>
          <w:lang w:val="en-US" w:eastAsia="zh-CN"/>
        </w:rPr>
        <w:t>。</w:t>
      </w:r>
    </w:p>
    <w:p>
      <w:pPr>
        <w:numPr>
          <w:ilvl w:val="0"/>
          <w:numId w:val="0"/>
        </w:numPr>
        <w:bidi w:val="0"/>
        <w:ind w:firstLine="640" w:firstLineChars="200"/>
        <w:rPr>
          <w:rFonts w:hint="default" w:ascii="仿宋_GB2312" w:hAnsi="Times New Roman" w:cs="Times New Roman"/>
          <w:color w:val="000000"/>
          <w:sz w:val="32"/>
          <w:szCs w:val="32"/>
          <w:highlight w:val="none"/>
          <w:lang w:val="en-US" w:eastAsia="zh-CN"/>
        </w:rPr>
      </w:pPr>
      <w:r>
        <w:rPr>
          <w:rFonts w:hint="default" w:ascii="仿宋_GB2312" w:hAnsi="仿宋_GB2312" w:eastAsia="仿宋_GB2312" w:cs="仿宋_GB2312"/>
          <w:szCs w:val="32"/>
          <w:lang w:val="en-US" w:eastAsia="zh-CN"/>
        </w:rPr>
        <w:t>其中：货物类政府采购预算</w:t>
      </w:r>
      <w:r>
        <w:rPr>
          <w:rFonts w:hint="eastAsia" w:ascii="仿宋_GB2312" w:hAnsi="仿宋_GB2312" w:eastAsia="仿宋_GB2312" w:cs="仿宋_GB2312"/>
          <w:szCs w:val="32"/>
          <w:lang w:val="en-US" w:eastAsia="zh-CN"/>
        </w:rPr>
        <w:t>257.44</w:t>
      </w:r>
      <w:r>
        <w:rPr>
          <w:rFonts w:hint="default" w:ascii="仿宋_GB2312" w:hAnsi="仿宋_GB2312" w:eastAsia="仿宋_GB2312" w:cs="仿宋_GB2312"/>
          <w:szCs w:val="32"/>
          <w:lang w:val="en-US" w:eastAsia="zh-CN"/>
        </w:rPr>
        <w:t>万元，主要是集中采购办公设备、医疗设备</w:t>
      </w:r>
      <w:r>
        <w:rPr>
          <w:rFonts w:hint="eastAsia" w:ascii="仿宋_GB2312" w:hAnsi="仿宋_GB2312" w:eastAsia="仿宋_GB2312" w:cs="仿宋_GB2312"/>
          <w:szCs w:val="32"/>
          <w:lang w:val="en-US" w:eastAsia="zh-CN"/>
        </w:rPr>
        <w:t>、</w:t>
      </w:r>
      <w:r>
        <w:rPr>
          <w:rFonts w:hint="default" w:ascii="仿宋_GB2312" w:hAnsi="仿宋_GB2312" w:eastAsia="仿宋_GB2312" w:cs="仿宋_GB2312"/>
          <w:szCs w:val="32"/>
          <w:lang w:val="en-US" w:eastAsia="zh-CN"/>
        </w:rPr>
        <w:t>复印纸等支出；工程类政府采购预算</w:t>
      </w:r>
      <w:r>
        <w:rPr>
          <w:rFonts w:hint="eastAsia" w:ascii="仿宋_GB2312" w:hAnsi="仿宋_GB2312" w:eastAsia="仿宋_GB2312" w:cs="仿宋_GB2312"/>
          <w:szCs w:val="32"/>
          <w:lang w:val="en-US" w:eastAsia="zh-CN"/>
        </w:rPr>
        <w:t>0</w:t>
      </w:r>
      <w:r>
        <w:rPr>
          <w:rFonts w:hint="default" w:ascii="仿宋_GB2312" w:hAnsi="仿宋_GB2312" w:eastAsia="仿宋_GB2312" w:cs="仿宋_GB2312"/>
          <w:szCs w:val="32"/>
          <w:lang w:val="en-US" w:eastAsia="zh-CN"/>
        </w:rPr>
        <w:t>万元；服务类政府采购预算</w:t>
      </w:r>
      <w:r>
        <w:rPr>
          <w:rFonts w:hint="eastAsia" w:ascii="仿宋_GB2312" w:hAnsi="仿宋_GB2312" w:eastAsia="仿宋_GB2312" w:cs="仿宋_GB2312"/>
          <w:szCs w:val="32"/>
          <w:lang w:val="en-US" w:eastAsia="zh-CN"/>
        </w:rPr>
        <w:t>121.01</w:t>
      </w:r>
      <w:r>
        <w:rPr>
          <w:rFonts w:hint="default" w:ascii="仿宋_GB2312" w:hAnsi="仿宋_GB2312" w:eastAsia="仿宋_GB2312" w:cs="仿宋_GB2312"/>
          <w:szCs w:val="32"/>
          <w:lang w:val="en-US" w:eastAsia="zh-CN"/>
        </w:rPr>
        <w:t>万元，主要是印刷费、物业管理服务</w:t>
      </w:r>
      <w:r>
        <w:rPr>
          <w:rFonts w:hint="eastAsia" w:ascii="仿宋_GB2312" w:hAnsi="仿宋_GB2312" w:eastAsia="仿宋_GB2312" w:cs="仿宋_GB2312"/>
          <w:szCs w:val="32"/>
          <w:lang w:val="en-US" w:eastAsia="zh-CN"/>
        </w:rPr>
        <w:t>、保安服务、</w:t>
      </w:r>
      <w:r>
        <w:rPr>
          <w:rFonts w:hint="eastAsia" w:ascii="仿宋_GB2312" w:hAnsi="仿宋_GB2312" w:eastAsia="仿宋_GB2312" w:cs="仿宋_GB2312"/>
          <w:szCs w:val="32"/>
        </w:rPr>
        <w:t>车辆维修</w:t>
      </w:r>
      <w:r>
        <w:rPr>
          <w:rFonts w:hint="default" w:ascii="仿宋_GB2312" w:hAnsi="仿宋_GB2312" w:eastAsia="仿宋_GB2312" w:cs="仿宋_GB2312"/>
          <w:szCs w:val="32"/>
          <w:lang w:val="en-US" w:eastAsia="zh-CN"/>
        </w:rPr>
        <w:t>等支出。</w:t>
      </w:r>
    </w:p>
    <w:p>
      <w:pPr>
        <w:adjustRightInd w:val="0"/>
        <w:snapToGrid w:val="0"/>
        <w:spacing w:line="580" w:lineRule="atLeast"/>
        <w:ind w:firstLine="643" w:firstLineChars="200"/>
        <w:rPr>
          <w:rFonts w:hint="default"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第七部分  </w:t>
      </w:r>
      <w:r>
        <w:rPr>
          <w:rFonts w:hint="default" w:ascii="黑体" w:hAnsi="黑体" w:eastAsia="黑体" w:cs="黑体"/>
          <w:b/>
          <w:bCs/>
          <w:sz w:val="32"/>
          <w:szCs w:val="32"/>
          <w:u w:val="none"/>
          <w:lang w:val="en-US" w:eastAsia="zh-CN"/>
        </w:rPr>
        <w:t>国有资产占用情况</w:t>
      </w:r>
      <w:r>
        <w:rPr>
          <w:rFonts w:hint="eastAsia" w:ascii="黑体" w:hAnsi="黑体" w:eastAsia="黑体" w:cs="黑体"/>
          <w:b/>
          <w:bCs/>
          <w:sz w:val="32"/>
          <w:szCs w:val="32"/>
          <w:u w:val="none"/>
          <w:lang w:val="en-US" w:eastAsia="zh-CN"/>
        </w:rPr>
        <w:t>说明</w:t>
      </w:r>
    </w:p>
    <w:p>
      <w:pPr>
        <w:numPr>
          <w:ilvl w:val="0"/>
          <w:numId w:val="0"/>
        </w:numPr>
        <w:bidi w:val="0"/>
        <w:ind w:firstLine="643" w:firstLineChars="200"/>
        <w:rPr>
          <w:rFonts w:hint="eastAsia" w:ascii="仿宋_GB2312" w:hAnsi="仿宋_GB2312" w:eastAsia="仿宋_GB2312" w:cs="仿宋_GB2312"/>
          <w:szCs w:val="32"/>
          <w:lang w:eastAsia="zh-CN"/>
        </w:rPr>
      </w:pPr>
      <w:r>
        <w:rPr>
          <w:rFonts w:hint="eastAsia"/>
          <w:b/>
          <w:bCs/>
          <w:lang w:val="en-US" w:eastAsia="zh-CN"/>
        </w:rPr>
        <w:t>截至2023年12月31日</w:t>
      </w:r>
      <w:r>
        <w:rPr>
          <w:rFonts w:hint="eastAsia"/>
          <w:lang w:val="en-US" w:eastAsia="zh-CN"/>
        </w:rPr>
        <w:t>，</w:t>
      </w:r>
      <w:r>
        <w:rPr>
          <w:rFonts w:hint="eastAsia" w:ascii="仿宋_GB2312" w:hAnsi="仿宋_GB2312" w:eastAsia="仿宋_GB2312" w:cs="仿宋_GB2312"/>
          <w:szCs w:val="32"/>
          <w:lang w:val="en-US" w:eastAsia="zh-CN"/>
        </w:rPr>
        <w:t>本部门单位</w:t>
      </w:r>
      <w:r>
        <w:rPr>
          <w:rFonts w:hint="default" w:ascii="仿宋_GB2312" w:hAnsi="仿宋_GB2312" w:eastAsia="仿宋_GB2312" w:cs="仿宋_GB2312"/>
          <w:szCs w:val="32"/>
          <w:lang w:val="en-US" w:eastAsia="zh-CN"/>
        </w:rPr>
        <w:t>占有房屋面积</w:t>
      </w:r>
      <w:r>
        <w:rPr>
          <w:rFonts w:hint="eastAsia" w:ascii="仿宋_GB2312" w:hAnsi="仿宋_GB2312" w:eastAsia="仿宋_GB2312" w:cs="仿宋_GB2312"/>
          <w:szCs w:val="32"/>
        </w:rPr>
        <w:t xml:space="preserve"> </w:t>
      </w:r>
      <w:r>
        <w:rPr>
          <w:rFonts w:hint="eastAsia" w:ascii="仿宋_GB2312" w:eastAsia="仿宋_GB2312"/>
          <w:bCs/>
          <w:kern w:val="44"/>
          <w:sz w:val="32"/>
          <w:szCs w:val="32"/>
          <w:highlight w:val="none"/>
          <w:u w:val="single"/>
        </w:rPr>
        <w:t xml:space="preserve">    </w:t>
      </w:r>
      <w:r>
        <w:rPr>
          <w:rFonts w:hint="eastAsia" w:ascii="仿宋_GB2312" w:hAnsi="仿宋_GB2312" w:eastAsia="仿宋_GB2312" w:cs="仿宋_GB2312"/>
          <w:szCs w:val="32"/>
          <w:u w:val="none"/>
          <w:lang w:val="en-US" w:eastAsia="zh-CN"/>
        </w:rPr>
        <w:t>41887.94</w:t>
      </w:r>
      <w:r>
        <w:rPr>
          <w:rFonts w:hint="default" w:ascii="仿宋_GB2312" w:hAnsi="仿宋_GB2312" w:eastAsia="仿宋_GB2312" w:cs="仿宋_GB2312"/>
          <w:szCs w:val="32"/>
          <w:lang w:val="en-US" w:eastAsia="zh-CN"/>
        </w:rPr>
        <w:t>平方米</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单价 50 万元以上的通用设备</w:t>
      </w:r>
      <w:r>
        <w:rPr>
          <w:rFonts w:hint="eastAsia" w:ascii="仿宋_GB2312" w:hAnsi="仿宋_GB2312" w:cs="仿宋_GB2312"/>
          <w:szCs w:val="32"/>
          <w:lang w:val="en-US" w:eastAsia="zh-CN"/>
        </w:rPr>
        <w:t>9</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单价 100 万元的以上专用设备</w:t>
      </w:r>
      <w:r>
        <w:rPr>
          <w:rFonts w:hint="eastAsia" w:ascii="仿宋_GB2312" w:hAnsi="仿宋_GB2312" w:cs="仿宋_GB2312"/>
          <w:szCs w:val="32"/>
          <w:lang w:val="en-US" w:eastAsia="zh-CN"/>
        </w:rPr>
        <w:t>15</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现有公务用</w:t>
      </w:r>
      <w:r>
        <w:rPr>
          <w:rFonts w:hint="eastAsia" w:ascii="仿宋_GB2312" w:hAnsi="仿宋_GB2312" w:cs="仿宋_GB2312"/>
          <w:szCs w:val="32"/>
          <w:lang w:eastAsia="zh-CN"/>
        </w:rPr>
        <w:t>车</w:t>
      </w:r>
      <w:r>
        <w:rPr>
          <w:rFonts w:hint="eastAsia" w:ascii="仿宋_GB2312" w:hAnsi="仿宋_GB2312" w:cs="仿宋_GB2312"/>
          <w:szCs w:val="32"/>
          <w:lang w:val="en-US" w:eastAsia="zh-CN"/>
        </w:rPr>
        <w:t>21</w:t>
      </w:r>
      <w:r>
        <w:rPr>
          <w:rFonts w:hint="eastAsia" w:ascii="仿宋_GB2312" w:hAnsi="仿宋_GB2312" w:eastAsia="仿宋_GB2312" w:cs="仿宋_GB2312"/>
          <w:szCs w:val="32"/>
        </w:rPr>
        <w:t>辆，其中，应急保障用车</w:t>
      </w:r>
      <w:r>
        <w:rPr>
          <w:rFonts w:hint="eastAsia" w:ascii="仿宋_GB2312" w:hAnsi="仿宋_GB2312" w:cs="仿宋_GB2312"/>
          <w:szCs w:val="32"/>
          <w:lang w:val="en-US" w:eastAsia="zh-CN"/>
        </w:rPr>
        <w:t>9</w:t>
      </w:r>
      <w:r>
        <w:rPr>
          <w:rFonts w:hint="eastAsia" w:ascii="仿宋_GB2312" w:hAnsi="仿宋_GB2312" w:eastAsia="仿宋_GB2312" w:cs="仿宋_GB2312"/>
          <w:szCs w:val="32"/>
        </w:rPr>
        <w:t>辆、其他用车</w:t>
      </w:r>
      <w:r>
        <w:rPr>
          <w:rFonts w:hint="eastAsia" w:ascii="仿宋_GB2312" w:hAnsi="仿宋_GB2312" w:cs="仿宋_GB2312"/>
          <w:szCs w:val="32"/>
          <w:lang w:val="en-US" w:eastAsia="zh-CN"/>
        </w:rPr>
        <w:t>22</w:t>
      </w:r>
      <w:r>
        <w:rPr>
          <w:rFonts w:hint="eastAsia" w:ascii="仿宋_GB2312" w:hAnsi="仿宋_GB2312" w:eastAsia="仿宋_GB2312" w:cs="仿宋_GB2312"/>
          <w:szCs w:val="32"/>
        </w:rPr>
        <w:t>辆，其他用车主要是</w:t>
      </w:r>
      <w:r>
        <w:rPr>
          <w:rFonts w:hint="eastAsia" w:ascii="仿宋_GB2312" w:hAnsi="仿宋_GB2312" w:cs="仿宋_GB2312"/>
          <w:szCs w:val="32"/>
          <w:lang w:eastAsia="zh-CN"/>
        </w:rPr>
        <w:t>业务用车。</w:t>
      </w:r>
    </w:p>
    <w:p>
      <w:pPr>
        <w:numPr>
          <w:ilvl w:val="0"/>
          <w:numId w:val="0"/>
        </w:numPr>
        <w:bidi w:val="0"/>
        <w:ind w:firstLine="643" w:firstLineChars="200"/>
        <w:rPr>
          <w:rFonts w:hint="default"/>
          <w:sz w:val="28"/>
          <w:szCs w:val="28"/>
          <w:highlight w:val="none"/>
          <w:lang w:val="en-US" w:eastAsia="zh-CN"/>
        </w:rPr>
      </w:pPr>
      <w:r>
        <w:rPr>
          <w:rFonts w:hint="eastAsia" w:ascii="仿宋_GB2312" w:hAnsi="仿宋_GB2312" w:cs="仿宋_GB2312"/>
          <w:b/>
          <w:bCs/>
          <w:szCs w:val="32"/>
          <w:lang w:val="en-US" w:eastAsia="zh-CN"/>
        </w:rPr>
        <w:t>2024</w:t>
      </w:r>
      <w:r>
        <w:rPr>
          <w:rFonts w:hint="eastAsia"/>
          <w:b/>
          <w:bCs/>
          <w:lang w:val="en-US" w:eastAsia="zh-CN"/>
        </w:rPr>
        <w:t>年部门预算安排购置：</w:t>
      </w:r>
      <w:r>
        <w:rPr>
          <w:rFonts w:hint="eastAsia"/>
          <w:lang w:val="en-US" w:eastAsia="zh-CN"/>
        </w:rPr>
        <w:t>车辆</w:t>
      </w:r>
      <w:r>
        <w:rPr>
          <w:rFonts w:hint="eastAsia" w:ascii="仿宋_GB2312"/>
          <w:bCs/>
          <w:kern w:val="44"/>
          <w:sz w:val="32"/>
          <w:szCs w:val="32"/>
          <w:highlight w:val="none"/>
          <w:u w:val="single"/>
          <w:lang w:val="en-US" w:eastAsia="zh-CN"/>
        </w:rPr>
        <w:t>0</w:t>
      </w:r>
      <w:r>
        <w:rPr>
          <w:rFonts w:hint="eastAsia"/>
          <w:lang w:val="en-US" w:eastAsia="zh-CN"/>
        </w:rPr>
        <w:t>辆，其中，</w:t>
      </w:r>
      <w:r>
        <w:rPr>
          <w:rFonts w:hint="eastAsia" w:ascii="仿宋_GB2312" w:hAnsi="仿宋_GB2312" w:cs="仿宋_GB2312"/>
          <w:szCs w:val="32"/>
          <w:lang w:val="en-US" w:eastAsia="zh-CN"/>
        </w:rPr>
        <w:t>一般公务用车</w:t>
      </w:r>
      <w:r>
        <w:rPr>
          <w:rFonts w:hint="eastAsia" w:ascii="仿宋_GB2312"/>
          <w:bCs/>
          <w:kern w:val="44"/>
          <w:sz w:val="32"/>
          <w:szCs w:val="32"/>
          <w:highlight w:val="none"/>
          <w:u w:val="single"/>
          <w:lang w:val="en-US" w:eastAsia="zh-CN"/>
        </w:rPr>
        <w:t>0</w:t>
      </w:r>
      <w:r>
        <w:rPr>
          <w:rFonts w:hint="eastAsia" w:ascii="仿宋_GB2312" w:hAnsi="仿宋_GB2312" w:eastAsia="仿宋_GB2312" w:cs="仿宋_GB2312"/>
          <w:szCs w:val="32"/>
        </w:rPr>
        <w:t>辆、机要通信用车</w:t>
      </w:r>
      <w:r>
        <w:rPr>
          <w:rFonts w:hint="eastAsia" w:ascii="仿宋_GB2312"/>
          <w:bCs/>
          <w:kern w:val="44"/>
          <w:sz w:val="32"/>
          <w:szCs w:val="32"/>
          <w:highlight w:val="none"/>
          <w:u w:val="single"/>
          <w:lang w:val="en-US" w:eastAsia="zh-CN"/>
        </w:rPr>
        <w:t>0</w:t>
      </w:r>
      <w:r>
        <w:rPr>
          <w:rFonts w:hint="eastAsia" w:ascii="仿宋_GB2312" w:hAnsi="仿宋_GB2312" w:eastAsia="仿宋_GB2312" w:cs="仿宋_GB2312"/>
          <w:szCs w:val="32"/>
        </w:rPr>
        <w:t>辆、应急保障用车</w:t>
      </w:r>
      <w:r>
        <w:rPr>
          <w:rFonts w:hint="eastAsia" w:ascii="仿宋_GB2312" w:hAnsi="仿宋_GB2312" w:cs="仿宋_GB2312"/>
          <w:szCs w:val="32"/>
          <w:lang w:val="en-US" w:eastAsia="zh-CN"/>
        </w:rPr>
        <w:t>0</w:t>
      </w:r>
      <w:r>
        <w:rPr>
          <w:rFonts w:hint="eastAsia" w:ascii="仿宋_GB2312" w:hAnsi="仿宋_GB2312" w:eastAsia="仿宋_GB2312" w:cs="仿宋_GB2312"/>
          <w:szCs w:val="32"/>
        </w:rPr>
        <w:t>辆、执法执勤用车</w:t>
      </w:r>
      <w:r>
        <w:rPr>
          <w:rFonts w:hint="eastAsia" w:ascii="仿宋_GB2312"/>
          <w:bCs/>
          <w:kern w:val="44"/>
          <w:sz w:val="32"/>
          <w:szCs w:val="32"/>
          <w:highlight w:val="none"/>
          <w:u w:val="single"/>
          <w:lang w:val="en-US" w:eastAsia="zh-CN"/>
        </w:rPr>
        <w:t>0</w:t>
      </w:r>
      <w:r>
        <w:rPr>
          <w:rFonts w:hint="eastAsia" w:ascii="仿宋_GB2312" w:hAnsi="仿宋_GB2312" w:eastAsia="仿宋_GB2312" w:cs="仿宋_GB2312"/>
          <w:szCs w:val="32"/>
        </w:rPr>
        <w:t>辆、特种专业技术用车</w:t>
      </w:r>
      <w:r>
        <w:rPr>
          <w:rFonts w:hint="eastAsia" w:ascii="仿宋_GB2312"/>
          <w:bCs/>
          <w:kern w:val="44"/>
          <w:sz w:val="32"/>
          <w:szCs w:val="32"/>
          <w:highlight w:val="none"/>
          <w:u w:val="single"/>
          <w:lang w:val="en-US" w:eastAsia="zh-CN"/>
        </w:rPr>
        <w:t>0</w:t>
      </w:r>
      <w:r>
        <w:rPr>
          <w:rFonts w:hint="eastAsia" w:ascii="仿宋_GB2312" w:hAnsi="仿宋_GB2312" w:eastAsia="仿宋_GB2312" w:cs="仿宋_GB2312"/>
          <w:szCs w:val="32"/>
        </w:rPr>
        <w:t>辆、其他用车</w:t>
      </w:r>
      <w:r>
        <w:rPr>
          <w:rFonts w:hint="eastAsia" w:ascii="仿宋_GB2312"/>
          <w:bCs/>
          <w:kern w:val="44"/>
          <w:sz w:val="32"/>
          <w:szCs w:val="32"/>
          <w:highlight w:val="none"/>
          <w:u w:val="single"/>
          <w:lang w:val="en-US" w:eastAsia="zh-CN"/>
        </w:rPr>
        <w:t>0</w:t>
      </w:r>
      <w:r>
        <w:rPr>
          <w:rFonts w:hint="eastAsia" w:ascii="仿宋_GB2312" w:hAnsi="仿宋_GB2312" w:eastAsia="仿宋_GB2312" w:cs="仿宋_GB2312"/>
          <w:szCs w:val="32"/>
        </w:rPr>
        <w:t>辆</w:t>
      </w:r>
      <w:r>
        <w:rPr>
          <w:rFonts w:hint="eastAsia"/>
          <w:lang w:val="en-US" w:eastAsia="zh-CN"/>
        </w:rPr>
        <w:t>；</w:t>
      </w:r>
      <w:r>
        <w:rPr>
          <w:rFonts w:hint="eastAsia" w:ascii="仿宋_GB2312" w:hAnsi="仿宋_GB2312" w:eastAsia="仿宋_GB2312" w:cs="仿宋_GB2312"/>
          <w:szCs w:val="32"/>
        </w:rPr>
        <w:t>单价 50 万元以上通用设备</w:t>
      </w:r>
      <w:r>
        <w:rPr>
          <w:rFonts w:hint="eastAsia" w:ascii="仿宋_GB2312"/>
          <w:bCs/>
          <w:kern w:val="44"/>
          <w:sz w:val="32"/>
          <w:szCs w:val="32"/>
          <w:highlight w:val="none"/>
          <w:u w:val="single"/>
          <w:lang w:val="en-US" w:eastAsia="zh-CN"/>
        </w:rPr>
        <w:t>0</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eastAsia" w:ascii="仿宋_GB2312" w:hAnsi="仿宋_GB2312" w:eastAsia="仿宋_GB2312" w:cs="仿宋_GB2312"/>
          <w:szCs w:val="32"/>
        </w:rPr>
        <w:t>单价 100 万元以上专用设备</w:t>
      </w:r>
      <w:r>
        <w:rPr>
          <w:rFonts w:hint="eastAsia" w:ascii="仿宋_GB2312"/>
          <w:bCs/>
          <w:kern w:val="44"/>
          <w:sz w:val="32"/>
          <w:szCs w:val="32"/>
          <w:highlight w:val="none"/>
          <w:u w:val="single"/>
          <w:lang w:val="en-US" w:eastAsia="zh-CN"/>
        </w:rPr>
        <w:t>0</w:t>
      </w:r>
      <w:r>
        <w:rPr>
          <w:rFonts w:hint="eastAsia" w:ascii="仿宋_GB2312" w:hAnsi="仿宋_GB2312" w:eastAsia="仿宋_GB2312" w:cs="仿宋_GB2312"/>
          <w:szCs w:val="32"/>
        </w:rPr>
        <w:t>台</w:t>
      </w:r>
      <w:r>
        <w:rPr>
          <w:rFonts w:hint="eastAsia" w:ascii="仿宋_GB2312" w:hAnsi="仿宋_GB2312" w:cs="仿宋_GB2312"/>
          <w:szCs w:val="32"/>
          <w:lang w:eastAsia="zh-CN"/>
        </w:rPr>
        <w:t>（</w:t>
      </w:r>
      <w:r>
        <w:rPr>
          <w:rFonts w:hint="eastAsia" w:ascii="仿宋_GB2312" w:hAnsi="仿宋_GB2312" w:cs="仿宋_GB2312"/>
          <w:szCs w:val="32"/>
          <w:lang w:val="en-US" w:eastAsia="zh-CN"/>
        </w:rPr>
        <w:t>套）</w:t>
      </w:r>
      <w:r>
        <w:rPr>
          <w:rFonts w:hint="default"/>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第八部分  重点项目预算绩效情况说明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b w:val="0"/>
          <w:bCs w:val="0"/>
          <w:sz w:val="32"/>
          <w:szCs w:val="32"/>
          <w:u w:val="none"/>
          <w:lang w:val="en-US" w:eastAsia="zh-CN"/>
        </w:rPr>
        <w:t>2024</w:t>
      </w:r>
      <w:r>
        <w:rPr>
          <w:rFonts w:hint="eastAsia"/>
          <w:lang w:val="en-US" w:eastAsia="zh-CN"/>
        </w:rPr>
        <w:t>年，本部门（单位）项目支出全面实施绩效目标管理，项目总预算</w:t>
      </w:r>
      <w:r>
        <w:rPr>
          <w:rFonts w:hint="eastAsia" w:ascii="仿宋_GB2312"/>
          <w:bCs/>
          <w:kern w:val="44"/>
          <w:sz w:val="32"/>
          <w:szCs w:val="32"/>
          <w:highlight w:val="none"/>
          <w:u w:val="single"/>
          <w:lang w:val="en-US" w:eastAsia="zh-CN"/>
        </w:rPr>
        <w:t>8319</w:t>
      </w:r>
      <w:r>
        <w:rPr>
          <w:rFonts w:hint="eastAsia"/>
          <w:lang w:val="en-US" w:eastAsia="zh-CN"/>
        </w:rPr>
        <w:t>万元，24个项目，比上年增长3056万元，</w:t>
      </w:r>
      <w:r>
        <w:rPr>
          <w:rFonts w:hint="eastAsia" w:ascii="仿宋_GB2312" w:eastAsia="仿宋_GB2312"/>
          <w:bCs/>
          <w:kern w:val="44"/>
          <w:sz w:val="32"/>
          <w:szCs w:val="32"/>
          <w:highlight w:val="none"/>
        </w:rPr>
        <w:t>增长</w:t>
      </w:r>
      <w:r>
        <w:rPr>
          <w:rFonts w:hint="eastAsia" w:ascii="仿宋_GB2312"/>
          <w:bCs/>
          <w:kern w:val="44"/>
          <w:sz w:val="32"/>
          <w:szCs w:val="32"/>
          <w:highlight w:val="none"/>
          <w:lang w:val="en-US" w:eastAsia="zh-CN"/>
        </w:rPr>
        <w:t>58.07</w:t>
      </w:r>
      <w:r>
        <w:rPr>
          <w:rFonts w:hint="eastAsia" w:ascii="仿宋_GB2312" w:eastAsia="仿宋_GB2312"/>
          <w:bCs/>
          <w:kern w:val="44"/>
          <w:sz w:val="32"/>
          <w:szCs w:val="32"/>
          <w:highlight w:val="none"/>
        </w:rPr>
        <w:t>%</w:t>
      </w:r>
      <w:r>
        <w:rPr>
          <w:rFonts w:hint="eastAsia"/>
          <w:lang w:val="en-US" w:eastAsia="zh-CN"/>
        </w:rPr>
        <w:t>。</w:t>
      </w:r>
      <w:r>
        <w:rPr>
          <w:rFonts w:hint="eastAsia" w:ascii="仿宋_GB2312" w:hAnsi="仿宋" w:cs="仿宋"/>
          <w:sz w:val="32"/>
          <w:szCs w:val="32"/>
          <w:lang w:val="en-US" w:eastAsia="zh-CN"/>
        </w:rPr>
        <w:t>根据以前年度绩效评价结果，优化优化</w:t>
      </w:r>
      <w:r>
        <w:rPr>
          <w:rFonts w:hint="eastAsia" w:ascii="仿宋" w:hAnsi="仿宋" w:eastAsia="仿宋"/>
          <w:sz w:val="32"/>
          <w:szCs w:val="32"/>
          <w:u w:val="none"/>
        </w:rPr>
        <w:t>医疗机构取消药品加成补助经费</w:t>
      </w:r>
      <w:r>
        <w:rPr>
          <w:rFonts w:hint="eastAsia" w:ascii="仿宋_GB2312" w:hAnsi="仿宋" w:cs="仿宋"/>
          <w:sz w:val="32"/>
          <w:szCs w:val="32"/>
          <w:lang w:val="en-US" w:eastAsia="zh-CN"/>
        </w:rPr>
        <w:t>等项目支出</w:t>
      </w:r>
      <w:r>
        <w:rPr>
          <w:rFonts w:hint="eastAsia" w:ascii="黑体" w:hAnsi="黑体" w:eastAsia="黑体" w:cs="黑体"/>
          <w:b w:val="0"/>
          <w:bCs w:val="0"/>
          <w:sz w:val="32"/>
          <w:szCs w:val="32"/>
          <w:u w:val="none"/>
          <w:lang w:val="en-US" w:eastAsia="zh-CN"/>
        </w:rPr>
        <w:t>2024</w:t>
      </w:r>
      <w:r>
        <w:rPr>
          <w:rFonts w:hint="eastAsia"/>
          <w:lang w:val="en-US" w:eastAsia="zh-CN"/>
        </w:rPr>
        <w:t>年预算安排，并进一步改进管理、完善政策。重点项目预算绩效具体情况：</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1、实施国家基本药物制度补助资金项目。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w:t>
      </w:r>
      <w:r>
        <w:rPr>
          <w:rFonts w:hint="eastAsia" w:ascii="仿宋" w:hAnsi="仿宋" w:eastAsia="仿宋" w:cs="仿宋"/>
          <w:color w:val="000000"/>
          <w:sz w:val="32"/>
          <w:szCs w:val="32"/>
          <w:u w:val="none"/>
          <w:shd w:val="clear" w:color="auto" w:fill="FFFFFF"/>
        </w:rPr>
        <w:t>保证基本药物足量供应和合理使用，有利于保障群众基本用药权益，转变“以药补医”机制，也有利于促进药品生产流通企业资源优化整合，对于实现人人享有基本医疗卫生服务，维护人民健康，体现社会公平，减轻群众用药负担，推动卫生事业发展。围绕公共卫生和人民群众常见病、多发病和重点疾病，以及基本医疗卫生保健需求，积极组织开展以循证医学证据为基础的药品成本效益和药物经济学等分析评估，遴选国家基本药物，保证人民群众基本用药。目录内的基本药物价格实施零差率销售。对基层医疗机构药品收支结余减少部分，我市设立基层医疗机构实施国家基本药物制度补助经费，保障基层</w:t>
      </w:r>
      <w:r>
        <w:rPr>
          <w:rFonts w:hint="eastAsia" w:ascii="仿宋" w:hAnsi="仿宋" w:eastAsia="仿宋" w:cs="仿宋"/>
          <w:color w:val="000000"/>
          <w:sz w:val="32"/>
          <w:szCs w:val="32"/>
          <w:u w:val="none"/>
          <w:shd w:val="clear" w:color="auto" w:fill="FFFFFF"/>
          <w:lang w:eastAsia="zh-CN"/>
        </w:rPr>
        <w:t>医疗机构</w:t>
      </w:r>
      <w:r>
        <w:rPr>
          <w:rFonts w:hint="eastAsia" w:ascii="仿宋" w:hAnsi="仿宋" w:eastAsia="仿宋" w:cs="仿宋"/>
          <w:color w:val="000000"/>
          <w:sz w:val="32"/>
          <w:szCs w:val="32"/>
          <w:u w:val="none"/>
          <w:shd w:val="clear" w:color="auto" w:fill="FFFFFF"/>
        </w:rPr>
        <w:t>运转，人员支出。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w:t>
      </w:r>
      <w:r>
        <w:rPr>
          <w:rFonts w:hint="eastAsia"/>
          <w:u w:val="none"/>
          <w:lang w:val="en-US" w:eastAsia="zh-CN"/>
        </w:rPr>
        <w:t>根据卫生部等九部委《关于印发&lt;关于建立国家基本药物制度的实施意见&gt;的通知》（卫药政发〔2009〕78号），实行基本药物制度的县（市、区），政府举办的基层医疗卫生机构配备使用的基本药物实行零差率销售，各地要按国家规定落实相关政府补助政策。《财政部 国家卫生计生委关于印发&lt;基层医疗卫生机构实施国家基本药物制度补助资金管理办法&gt;的通知》（财社〔2014〕139号）、《关于印发&lt;湖北省基层医疗卫生机构实施国家基本药物制度补助资金管理实施办法&gt;的通知》（鄂财社发〔2014〕109号）、《关于印发&lt;黄石市基层医疗卫生机构实施国家基本药物制度补助资金管理实施办法&gt;的通知》（黄财社发〔2015〕50号），国家、省、市均设立基层医疗卫生机构实施国家基本药物制度补助资金。</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w:t>
      </w:r>
      <w:r>
        <w:rPr>
          <w:rFonts w:hint="eastAsia" w:ascii="仿宋" w:hAnsi="仿宋" w:eastAsia="仿宋" w:cs="仿宋"/>
          <w:color w:val="000000"/>
          <w:sz w:val="32"/>
          <w:szCs w:val="32"/>
          <w:u w:val="none"/>
          <w:shd w:val="clear" w:color="auto" w:fill="FFFFFF"/>
        </w:rPr>
        <w:t>《国家发改委、卫生部关于建立</w:t>
      </w:r>
      <w:r>
        <w:rPr>
          <w:rFonts w:hint="eastAsia" w:ascii="仿宋" w:hAnsi="仿宋" w:eastAsia="仿宋" w:cs="仿宋"/>
          <w:color w:val="000000"/>
          <w:sz w:val="32"/>
          <w:szCs w:val="32"/>
          <w:u w:val="none"/>
          <w:shd w:val="clear" w:color="auto" w:fill="FFFFFF"/>
        </w:rPr>
        <w:fldChar w:fldCharType="begin"/>
      </w:r>
      <w:r>
        <w:rPr>
          <w:rFonts w:hint="eastAsia" w:ascii="仿宋" w:hAnsi="仿宋" w:eastAsia="仿宋" w:cs="仿宋"/>
          <w:color w:val="000000"/>
          <w:sz w:val="32"/>
          <w:szCs w:val="32"/>
          <w:u w:val="none"/>
          <w:shd w:val="clear" w:color="auto" w:fill="FFFFFF"/>
        </w:rPr>
        <w:instrText xml:space="preserve">HYPERLINK "https://baike.so.com/doc/5384109-5620517.html"</w:instrText>
      </w:r>
      <w:r>
        <w:rPr>
          <w:rFonts w:hint="eastAsia" w:ascii="仿宋" w:hAnsi="仿宋" w:eastAsia="仿宋" w:cs="仿宋"/>
          <w:color w:val="000000"/>
          <w:sz w:val="32"/>
          <w:szCs w:val="32"/>
          <w:u w:val="none"/>
          <w:shd w:val="clear" w:color="auto" w:fill="FFFFFF"/>
        </w:rPr>
        <w:fldChar w:fldCharType="separate"/>
      </w:r>
      <w:r>
        <w:rPr>
          <w:rFonts w:hint="eastAsia" w:ascii="仿宋" w:hAnsi="仿宋" w:eastAsia="仿宋" w:cs="仿宋"/>
          <w:color w:val="000000"/>
          <w:sz w:val="32"/>
          <w:szCs w:val="32"/>
          <w:u w:val="none"/>
          <w:shd w:val="clear" w:color="auto" w:fill="FFFFFF"/>
        </w:rPr>
        <w:t>国家基本药物</w:t>
      </w:r>
      <w:r>
        <w:rPr>
          <w:rFonts w:hint="eastAsia" w:ascii="仿宋" w:hAnsi="仿宋" w:eastAsia="仿宋" w:cs="仿宋"/>
          <w:color w:val="000000"/>
          <w:sz w:val="32"/>
          <w:szCs w:val="32"/>
          <w:u w:val="none"/>
          <w:shd w:val="clear" w:color="auto" w:fill="FFFFFF"/>
        </w:rPr>
        <w:fldChar w:fldCharType="end"/>
      </w:r>
      <w:r>
        <w:rPr>
          <w:rFonts w:hint="eastAsia" w:ascii="仿宋" w:hAnsi="仿宋" w:eastAsia="仿宋" w:cs="仿宋"/>
          <w:color w:val="000000"/>
          <w:sz w:val="32"/>
          <w:szCs w:val="32"/>
          <w:u w:val="none"/>
          <w:shd w:val="clear" w:color="auto" w:fill="FFFFFF"/>
        </w:rPr>
        <w:t>制度的实施意见》和《关于完善国家基本药物制度的意见》文件精神，我市制定《</w:t>
      </w:r>
      <w:r>
        <w:rPr>
          <w:rFonts w:hint="eastAsia" w:ascii="仿宋" w:hAnsi="仿宋" w:eastAsia="仿宋" w:cs="仿宋"/>
          <w:color w:val="000000"/>
          <w:sz w:val="32"/>
          <w:szCs w:val="32"/>
          <w:u w:val="none"/>
          <w:shd w:val="clear" w:color="auto" w:fill="FFFFFF"/>
        </w:rPr>
        <w:fldChar w:fldCharType="begin"/>
      </w:r>
      <w:r>
        <w:rPr>
          <w:rFonts w:hint="eastAsia" w:ascii="仿宋" w:hAnsi="仿宋" w:eastAsia="仿宋" w:cs="仿宋"/>
          <w:color w:val="000000"/>
          <w:sz w:val="32"/>
          <w:szCs w:val="32"/>
          <w:u w:val="none"/>
          <w:shd w:val="clear" w:color="auto" w:fill="FFFFFF"/>
        </w:rPr>
        <w:instrText xml:space="preserve">HYPERLINK "https://baike.so.com/doc/5384109-5620517.html"</w:instrText>
      </w:r>
      <w:r>
        <w:rPr>
          <w:rFonts w:hint="eastAsia" w:ascii="仿宋" w:hAnsi="仿宋" w:eastAsia="仿宋" w:cs="仿宋"/>
          <w:color w:val="000000"/>
          <w:sz w:val="32"/>
          <w:szCs w:val="32"/>
          <w:u w:val="none"/>
          <w:shd w:val="clear" w:color="auto" w:fill="FFFFFF"/>
        </w:rPr>
        <w:fldChar w:fldCharType="separate"/>
      </w:r>
      <w:r>
        <w:rPr>
          <w:rFonts w:hint="eastAsia" w:ascii="仿宋" w:hAnsi="仿宋" w:eastAsia="仿宋" w:cs="仿宋"/>
          <w:color w:val="000000"/>
          <w:sz w:val="32"/>
          <w:szCs w:val="32"/>
          <w:u w:val="none"/>
          <w:shd w:val="clear" w:color="auto" w:fill="FFFFFF"/>
        </w:rPr>
        <w:t>国家基本药物</w:t>
      </w:r>
      <w:r>
        <w:rPr>
          <w:rFonts w:hint="eastAsia" w:ascii="仿宋" w:hAnsi="仿宋" w:eastAsia="仿宋" w:cs="仿宋"/>
          <w:color w:val="000000"/>
          <w:sz w:val="32"/>
          <w:szCs w:val="32"/>
          <w:u w:val="none"/>
          <w:shd w:val="clear" w:color="auto" w:fill="FFFFFF"/>
        </w:rPr>
        <w:fldChar w:fldCharType="end"/>
      </w:r>
      <w:r>
        <w:rPr>
          <w:rFonts w:hint="eastAsia" w:ascii="仿宋" w:hAnsi="仿宋" w:eastAsia="仿宋" w:cs="仿宋"/>
          <w:color w:val="000000"/>
          <w:sz w:val="32"/>
          <w:szCs w:val="32"/>
          <w:u w:val="none"/>
          <w:shd w:val="clear" w:color="auto" w:fill="FFFFFF"/>
        </w:rPr>
        <w:t>制度目录》</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w:t>
      </w:r>
      <w:r>
        <w:rPr>
          <w:rFonts w:hint="eastAsia" w:ascii="仿宋_GB2312"/>
          <w:bCs/>
          <w:kern w:val="44"/>
          <w:sz w:val="32"/>
          <w:szCs w:val="32"/>
          <w:highlight w:val="none"/>
          <w:u w:val="single"/>
          <w:lang w:val="en-US" w:eastAsia="zh-CN"/>
        </w:rPr>
        <w:t>200</w:t>
      </w:r>
      <w:r>
        <w:rPr>
          <w:rFonts w:hint="eastAsia"/>
          <w:lang w:val="en-US" w:eastAsia="zh-CN"/>
        </w:rPr>
        <w:t>万元，</w:t>
      </w:r>
      <w:r>
        <w:rPr>
          <w:rFonts w:hint="eastAsia"/>
          <w:u w:val="none"/>
          <w:lang w:val="en-US" w:eastAsia="zh-CN"/>
        </w:rPr>
        <w:t>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。其中，200万元资金来源全部为当年一般公共预算财政拨款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年度项目绩效总目标是：基层医疗机构实施国家基本药物制度，推进综合改革顺利进行,对实施国家基本药物制度的基层医疗机构给予补助，支持国家基本药物制度在基层医疗机构顺利实施。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w:t>
      </w:r>
      <w:r>
        <w:rPr>
          <w:rFonts w:hint="eastAsia"/>
          <w:u w:val="none"/>
          <w:lang w:val="en-US" w:eastAsia="zh-CN"/>
        </w:rPr>
        <w:t>基层医疗卫生机构实施国家基本药物制度覆盖率100%，村卫生室实施国家基本药物制度覆盖率100%，村卫生室服务能力持续提升。工作完成及时率100%，预算控制率100%</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效益指标：乡村医生收入保持稳定，村卫生室工作人员素质持续提升。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满意度指标：服务对象满意度指标80%以上。</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重点专科建设发展经费项目。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（1）项目概况：本项目通过对市级公立医院临床重点学科建设以奖代补，促进医院加大学科建设投入和人才、技术引进，提升全市临床诊疗服务能力和医疗质量。 根据国家、省级重点专科的设置条件，结合我市实际情况，2023年积极争创国家级临床重点专科项目1个，新创建省级临床重点专科8-10个。</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国务院办公厅关于城市公立医院综合改革试点的指导意见》（国办发〔2015〕38号）等文件要求，各级政府要落实符合区域卫生规划的公立医院基本建设和设备购置、重点学科发展、人才培养、符合国家规定的离退休人员费用和政策性亏损补贴等投入。省、市卫生行政部门分别制定了《湖北省临床重点专科建设管理办法》（鄂卫办法〔2009〕205号和《黄石市临床重点专科建设奖励办法》（黄卫发〔2013〕130号）等临床重点专科建设相关管理规范和奖励方案，对成功创建的国家级、省级、黄石市级临床重点专科分别予以不同等次的经费奖励</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市委人才办等6部门《关于印发&lt;关于进一步加强卫生健康人才队伍建设的若干措施&gt;的通知》（黄卫通〔2023〕3号）明确提出，新创建国家级临床重点专科、临床医学中心、实验室的，由市级财政给予100万资金支持，成功新创建省级临床重点专科、临床医学中心、实验室的，由市级财政给予30万资金支持。按照新创建1个国家级临床重点专科、8个省级临床重点专科计算，合计300万元。经费用于补助医疗机构在临床学科建设、进修培训、学术研讨、学科能力提升等方面的支出。经费用于医疗机构学科建设，进修培训，学术研讨，学科能力提升等方面</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年预算安排3</w:t>
      </w:r>
      <w:r>
        <w:rPr>
          <w:rFonts w:hint="eastAsia" w:ascii="仿宋_GB2312"/>
          <w:bCs/>
          <w:kern w:val="44"/>
          <w:sz w:val="32"/>
          <w:szCs w:val="32"/>
          <w:highlight w:val="none"/>
          <w:u w:val="single"/>
          <w:lang w:val="en-US" w:eastAsia="zh-CN"/>
        </w:rPr>
        <w:t>00</w:t>
      </w:r>
      <w:r>
        <w:rPr>
          <w:rFonts w:hint="eastAsia"/>
          <w:lang w:val="en-US" w:eastAsia="zh-CN"/>
        </w:rPr>
        <w:t>万元，</w:t>
      </w:r>
      <w:r>
        <w:rPr>
          <w:rFonts w:hint="eastAsia"/>
          <w:u w:val="none"/>
          <w:lang w:val="en-US" w:eastAsia="zh-CN"/>
        </w:rPr>
        <w:t>比上年增长300万元，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u w:val="none"/>
          <w:lang w:val="en-US" w:eastAsia="zh-CN"/>
        </w:rPr>
        <w:t>。其中，300万元资金来源全部为当年一般公共预算财政拨款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年度项目绩效总目标是：新创建国家级临床重点专科1个，新创建省级临床重点专科8-10个。</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产出指标：新创建国家级临床重点专科1个，新创建省级临床重点专科8-10个；三级公立医院CMI≥1，三级公立医院DRG组数≥700组，工作任务完成及时率100%。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效益指标：重大疾病临床诊疗能力水平提升，促进全市医疗卫生事业高质量发展，黄石市医疗服务能力及区域地位提升。</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满意度指标：公立医院住院患者满意度≥91.71%。</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城镇独生子女年老父母计划生育奖励项目。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u w:val="none"/>
          <w:lang w:val="en-US" w:eastAsia="zh-CN"/>
        </w:rPr>
      </w:pPr>
      <w:r>
        <w:rPr>
          <w:rFonts w:hint="eastAsia"/>
          <w:u w:val="none"/>
          <w:lang w:val="en-US" w:eastAsia="zh-CN"/>
        </w:rPr>
        <w:t>（1）项目概况：</w:t>
      </w:r>
      <w:r>
        <w:rPr>
          <w:rFonts w:ascii="仿宋" w:hAnsi="仿宋" w:eastAsia="仿宋"/>
          <w:sz w:val="32"/>
          <w:szCs w:val="32"/>
          <w:u w:val="none"/>
        </w:rPr>
        <w:t>城镇独生子女年老父母计划生育奖励是落实计划生育基本国策，稳定低生育水平投入保障措施；支持计划生育工作，促进人口长期均衡发展；主要投入：对国有和县属以上集体企业领取了《独生子女证》或《独生子女父母光荣证》。1、对男性年满60周岁，女性年满55周岁，只生育（含依法收养）一个子女且领取了《独生子女证》或《独生子女父母光荣证》的户籍在我市的城镇居民 未享受机关事业单位、企业退休职工计生奖励政策及农村部分计划生育家庭奖励扶助政策的独生子女父母，每人一次性奖励3500元</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（2）项目内容：</w:t>
      </w:r>
      <w:r>
        <w:rPr>
          <w:rFonts w:hint="eastAsia" w:ascii="仿宋" w:hAnsi="仿宋" w:eastAsia="仿宋"/>
          <w:bCs/>
          <w:sz w:val="32"/>
          <w:szCs w:val="32"/>
          <w:u w:val="none"/>
        </w:rPr>
        <w:t>据测算</w:t>
      </w:r>
      <w:r>
        <w:rPr>
          <w:rFonts w:hint="eastAsia" w:ascii="仿宋" w:hAnsi="仿宋" w:eastAsia="仿宋"/>
          <w:sz w:val="32"/>
          <w:szCs w:val="32"/>
          <w:u w:val="none"/>
        </w:rPr>
        <w:t>，我市每年符合政策人数约为3000人，每人奖励3500元，市级财政承担1000万元。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w:t>
      </w:r>
      <w:r>
        <w:rPr>
          <w:rFonts w:ascii="仿宋" w:hAnsi="仿宋" w:eastAsia="仿宋"/>
          <w:sz w:val="32"/>
          <w:szCs w:val="32"/>
          <w:u w:val="none"/>
        </w:rPr>
        <w:t>《中华人民共和国人口与计划生育法》和《湖北省人口与计划生育条例》 明确规定，在国家提倡一对夫妻生育一个子女期间，按照规定应当享受计划生育家庭老年人奖励扶助的，继续享受相关奖励扶助。《中共中央国务院关于全面加强人口和计划生育工作统筹解决人口问题的决定》(中发〔 2006〕22 号)、《中共中央国务院关于全面实施两孩政策改革完善计划生育服务管理的决定》(中发〔2015〕40号)和《中共湖北省委湖北省人民政府关于全面加强人口和计划生育工作统筹解决人口问题的决定》(鄂发〔2007〕25号)</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highlight w:val="none"/>
          <w:u w:val="none"/>
          <w:lang w:val="en-US" w:eastAsia="zh-CN"/>
        </w:rPr>
      </w:pPr>
      <w:r>
        <w:rPr>
          <w:rFonts w:hint="eastAsia"/>
          <w:highlight w:val="none"/>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highlight w:val="none"/>
          <w:u w:val="none"/>
          <w:lang w:val="en-US" w:eastAsia="zh-CN"/>
        </w:rPr>
      </w:pPr>
      <w:r>
        <w:rPr>
          <w:rFonts w:hint="eastAsia"/>
          <w:highlight w:val="none"/>
          <w:u w:val="none"/>
          <w:lang w:val="en-US" w:eastAsia="zh-CN"/>
        </w:rPr>
        <w:t>（5）项目期：2024年。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（6）年度预算安排：2024年预算安排</w:t>
      </w:r>
      <w:r>
        <w:rPr>
          <w:rFonts w:hint="eastAsia" w:ascii="仿宋_GB2312"/>
          <w:bCs/>
          <w:kern w:val="44"/>
          <w:sz w:val="32"/>
          <w:szCs w:val="32"/>
          <w:highlight w:val="none"/>
          <w:u w:val="none"/>
          <w:lang w:val="en-US" w:eastAsia="zh-CN"/>
        </w:rPr>
        <w:t>1000</w:t>
      </w:r>
      <w:r>
        <w:rPr>
          <w:rFonts w:hint="eastAsia"/>
          <w:u w:val="none"/>
          <w:lang w:val="en-US" w:eastAsia="zh-CN"/>
        </w:rPr>
        <w:t>万元，比上年增长</w:t>
      </w:r>
      <w:r>
        <w:rPr>
          <w:rFonts w:hint="eastAsia" w:ascii="仿宋_GB2312"/>
          <w:bCs/>
          <w:kern w:val="44"/>
          <w:sz w:val="32"/>
          <w:szCs w:val="32"/>
          <w:highlight w:val="none"/>
          <w:u w:val="none"/>
          <w:lang w:val="en-US" w:eastAsia="zh-CN"/>
        </w:rPr>
        <w:t>0</w:t>
      </w:r>
      <w:r>
        <w:rPr>
          <w:rFonts w:hint="eastAsia"/>
          <w:u w:val="none"/>
          <w:lang w:val="en-US" w:eastAsia="zh-CN"/>
        </w:rPr>
        <w:t>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w:t>
      </w:r>
      <w:r>
        <w:rPr>
          <w:rFonts w:hint="eastAsia" w:ascii="仿宋_GB2312"/>
          <w:bCs/>
          <w:kern w:val="44"/>
          <w:sz w:val="32"/>
          <w:szCs w:val="32"/>
          <w:highlight w:val="none"/>
          <w:u w:val="none"/>
          <w:lang w:val="en-US" w:eastAsia="zh-CN"/>
        </w:rPr>
        <w:t>1000</w:t>
      </w:r>
      <w:r>
        <w:rPr>
          <w:rFonts w:hint="eastAsia"/>
          <w:u w:val="none"/>
          <w:lang w:val="en-US" w:eastAsia="zh-CN"/>
        </w:rPr>
        <w:t>万元资金来源全部为当年一般公共预算财政拨款。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（7）2023年度项目绩效总目标是：全面落实城镇独生子女年老父母计划生育一次性奖励。</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产出指标：预计发放人数4000人，奖励资金补助合规率100%，资金发放完成比例100%，奖励资金补助及时率100%，预算控制率100%，企业退休职工计划生育奖励标准3500元/人。</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效益指标：落实计划生育基本国策，退休计生家庭生活条件改善认可度达到90%，促进卫生健康事业持续健康发展。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u w:val="none"/>
          <w:lang w:val="en-US" w:eastAsia="zh-CN"/>
        </w:rPr>
        <w:t>满意度指标：受奖励对象满意度90%</w:t>
      </w:r>
      <w:r>
        <w:rPr>
          <w:rFonts w:hint="eastAsia"/>
          <w:lang w:val="en-US" w:eastAsia="zh-CN"/>
        </w:rPr>
        <w:t>。</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公立医院改革补助经费项目。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w:t>
      </w:r>
      <w:r>
        <w:rPr>
          <w:rFonts w:hint="eastAsia" w:ascii="仿宋_GB2312" w:hAnsi="Microsoft JhengHei Light" w:eastAsia="仿宋_GB2312" w:cs="仿宋_GB2312"/>
          <w:sz w:val="32"/>
          <w:szCs w:val="32"/>
          <w:lang w:eastAsia="zh-CN"/>
        </w:rPr>
        <w:t>2017年和2018年：重点项目建设经费1600万元，公立医院综合改革经费1500万元。2019年3500万元，包括重点项目建设经费1600万元，公立医院综合改革经费1700万元，其中基层医疗机构落实国家基本药物制度补助经费200万元。2020年暂停</w:t>
      </w:r>
      <w:r>
        <w:rPr>
          <w:rFonts w:hint="eastAsia" w:ascii="仿宋_GB2312" w:hAnsi="Microsoft JhengHei Light"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（2）项目内容：《财政部 卫生计生委中医药局关于印发&lt;公立医院补助资金管理暂行办法&gt;的通知》（财社〔2015〕256号）明确，中央财政公立医院补助资金现阶段重点支持公立医院综合改革等工作，用于公立医院综合改革方面的补助资金主要支持推进城市和县级公立医院综合改革相关工作</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w:t>
      </w:r>
      <w:r>
        <w:rPr>
          <w:rFonts w:hint="eastAsia" w:ascii="仿宋_GB2312" w:hAnsi="Microsoft JhengHei Light" w:eastAsia="仿宋_GB2312" w:cs="仿宋_GB2312"/>
          <w:sz w:val="32"/>
          <w:szCs w:val="32"/>
          <w:lang w:eastAsia="zh-CN"/>
        </w:rPr>
        <w:t>根据《国务院办公厅关于城市公立医院综合改革试点的指导意见》（国办发〔2015〕38号）、《关于巩固破除以药补医成果持续深化公立医院综合改革的意见》（鄂卫生计生发〔2018〕7号）、《关于巩固破除以药补医成果持续深化公立医院综合改革的实施意见》（黄卫生计生发2018〕7号），要全面落实政府投入责任，结合年度预算编制工作，落实符合区域卫生规划的公立医院基本建设和设备购置等投入，落实对专科医院的投入政策</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年预算安排3</w:t>
      </w:r>
      <w:r>
        <w:rPr>
          <w:rFonts w:hint="eastAsia" w:ascii="仿宋_GB2312"/>
          <w:bCs/>
          <w:kern w:val="44"/>
          <w:sz w:val="32"/>
          <w:szCs w:val="32"/>
          <w:highlight w:val="none"/>
          <w:u w:val="single"/>
          <w:lang w:val="en-US" w:eastAsia="zh-CN"/>
        </w:rPr>
        <w:t>200</w:t>
      </w:r>
      <w:r>
        <w:rPr>
          <w:rFonts w:hint="eastAsia"/>
          <w:lang w:val="en-US" w:eastAsia="zh-CN"/>
        </w:rPr>
        <w:t>万元，</w:t>
      </w:r>
      <w:r>
        <w:rPr>
          <w:rFonts w:hint="eastAsia"/>
          <w:u w:val="none"/>
          <w:lang w:val="en-US" w:eastAsia="zh-CN"/>
        </w:rPr>
        <w:t>比上年增长3200万元，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w:t>
      </w:r>
      <w:r>
        <w:rPr>
          <w:rFonts w:hint="eastAsia"/>
          <w:u w:val="none"/>
          <w:lang w:val="en-US" w:eastAsia="zh-CN"/>
        </w:rPr>
        <w:t>。其中，3200万元资金来源全部为当年一般公共预算财政拨款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年度项目绩效总目标是：深化公立医院综合改革，建立健全现代医院管理制度，协调推进医疗价格、人事薪酬、药品流通，医保支付，提高医疗卫生服务质量。</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医疗服务（不含药品、耗材、检查、化验收入）占公立医院收入的比例较上年上升，公立医院资产负债率较上年降低，住院次均费用增幅较上年降低，120急救中心应急管理较上年提高，三级公立医院出院患者手术占比较上年提高，公立医院平均住院日较上年降低，预算完成及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三级公立医院万元能耗支出较上年降低，实现收支平衡的公立医院数占公立医院总数的比例较上年提高，基层医疗卫生机构诊疗人次占医疗卫生机构诊疗总人次数的比例较上年提高，公立医院每急诊人次平均收费水平增长比例较上年降低，公立医院出院者平均医药费用增长比例较上年降低，三级公立医院门诊人次数与出院人次数比较上年降低。</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lang w:val="en-US" w:eastAsia="zh-CN"/>
        </w:rPr>
        <w:t>满意度指标：公立医院职工满意度≥75%，公立医院门诊患者满意度≥83%，公立医院住院患者满意度≥90%。</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基本公共卫生服务经费项目。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（1）项目概况：</w:t>
      </w:r>
      <w:r>
        <w:rPr>
          <w:rFonts w:hint="eastAsia" w:ascii="仿宋" w:hAnsi="仿宋" w:eastAsia="仿宋"/>
          <w:sz w:val="32"/>
          <w:szCs w:val="32"/>
          <w:u w:val="none"/>
        </w:rPr>
        <w:t>通过实施国家基本公共卫生服务项目和重大公共卫生服务项目，明确政府责任，对城乡居民健康问题实施干预措施，减少主要健康危险因素，有效预防和控制主要传染病及慢性病，提高公共卫生服务和突发公共卫生事件应急处置能力，使城乡居民逐步享有均等化的基本公共卫生服务。实现基本公共卫生服务均等化，目标是保障城乡居民获得最基本、最有效的基本公共卫生服务，缩小城乡居民基本公共卫生服务的差距，使大家都能享受到基本公共卫生服务，最终使老百姓不得病、少得病、晚得病、不得大病。</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sz w:val="32"/>
          <w:szCs w:val="32"/>
          <w:u w:val="none"/>
        </w:rPr>
      </w:pPr>
      <w:r>
        <w:rPr>
          <w:rFonts w:hint="eastAsia" w:ascii="仿宋" w:hAnsi="仿宋" w:eastAsia="仿宋"/>
          <w:sz w:val="32"/>
          <w:szCs w:val="32"/>
          <w:u w:val="none"/>
          <w:lang w:val="en-US" w:eastAsia="zh-CN"/>
        </w:rPr>
        <w:t>（2）项目内容：</w:t>
      </w:r>
      <w:r>
        <w:rPr>
          <w:rFonts w:hint="eastAsia" w:ascii="仿宋" w:hAnsi="仿宋" w:eastAsia="仿宋"/>
          <w:sz w:val="32"/>
          <w:szCs w:val="32"/>
          <w:u w:val="none"/>
        </w:rPr>
        <w:t>《《省财政厅关于下达2019年中央财政基本公共卫生服务资金的通知》规定：2019年各级财政对基本基本公共卫生服务的补助提高到每人每年不低于69元，按照常住人口人均每年增加5元；国家卫健委《关于做好2021年基本公共卫生服务项目工作的通知》：2021年人均基本公卫服务经费补助标准79元；国家卫健委《关于做好2022年基本公共卫生服务项目的通知》：2023年基本公共卫生服务经费人均财政补助标准为89元。按照常住人口人均每年新增5元的惯例，预计2024年基本公共卫生服务经费人均财政补助标准为94元。城区人口91.29万（含新港园区），市级财政承担10%，本级负担8</w:t>
      </w:r>
      <w:r>
        <w:rPr>
          <w:rFonts w:hint="eastAsia" w:ascii="仿宋" w:hAnsi="仿宋" w:eastAsia="仿宋"/>
          <w:sz w:val="32"/>
          <w:szCs w:val="32"/>
          <w:u w:val="none"/>
          <w:lang w:val="en-US" w:eastAsia="zh-CN"/>
        </w:rPr>
        <w:t>51</w:t>
      </w:r>
      <w:r>
        <w:rPr>
          <w:rFonts w:hint="eastAsia" w:ascii="仿宋" w:hAnsi="仿宋" w:eastAsia="仿宋"/>
          <w:sz w:val="32"/>
          <w:szCs w:val="32"/>
          <w:u w:val="none"/>
        </w:rPr>
        <w:t>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w:t>
      </w:r>
      <w:r>
        <w:rPr>
          <w:rFonts w:hint="eastAsia" w:ascii="仿宋" w:hAnsi="仿宋" w:eastAsia="仿宋"/>
          <w:sz w:val="32"/>
          <w:szCs w:val="32"/>
          <w:u w:val="none"/>
        </w:rPr>
        <w:t>《中共中央国务院关于深化医药卫生体制改革的意见》（中发[2009]6号）；《国务院关于印发“十二五”期间深化医药卫生体制改革规划暨实施方案的通知》（国发[2012]11号）。《关于印发医疗卫生领域中央财政事权和支出责任划分改革方案的通知》（国发办[2018]67号）、《关于印发湖北省基本公共服务领域省与市县共同财政事权和支出责任划分改革方案的通知》，《卫生部财政部人口计生委关于促进基本公共卫生服务逐步均等化的意见》（卫妇社发〔2009〕70号）：“基本公共卫生服务项目主要通过城市社区卫生服务中心（站）、乡镇卫生院、村卫生室等城乡基层医疗卫生机构免费为全体居民提供。”</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（5）项目期：2023年度。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（6）年度预算安排：2023年预算安排</w:t>
      </w:r>
      <w:r>
        <w:rPr>
          <w:rFonts w:hint="eastAsia" w:ascii="仿宋_GB2312"/>
          <w:bCs/>
          <w:kern w:val="44"/>
          <w:sz w:val="32"/>
          <w:szCs w:val="32"/>
          <w:highlight w:val="none"/>
          <w:u w:val="none"/>
          <w:lang w:val="en-US" w:eastAsia="zh-CN"/>
        </w:rPr>
        <w:t>100</w:t>
      </w:r>
      <w:r>
        <w:rPr>
          <w:rFonts w:hint="eastAsia"/>
          <w:u w:val="none"/>
          <w:lang w:val="en-US" w:eastAsia="zh-CN"/>
        </w:rPr>
        <w:t>万元，比上年增长0万元，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。其中，100万元资金来源全部为当年一般公共预算财政拨款。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（7）2023年度项目绩效总目标是：1.居民规范化电子健康档案覆盖率≥62%。2.适龄儿童国家免疫规划疫苗接种率≥90%。3.7岁以下儿童健康管理率≥85%           4.0-6岁儿童眼保健和视力检查覆盖率≥90%。5.孕产妇系统管理率≥90%。6.65岁及以上老年人城乡社区规范健康管理服务率≥62% 。7.高血压患者基层规范管理服务率≥62% 。8.2型糖尿病患者基层规范管理服务率≥62%。9.社区在册居家严重精神障碍患者健康管理率≥80%。10.肺结核患者管理率≥90%。11.老年人中医药健康管理率≥70%。12.儿童中医药健康管理率≥77%。13.传染病和突发公共卫生事件报告率≥95%。14.卫生监督协管各专业每年巡查（访）2次完成率≥90%。</w:t>
      </w:r>
    </w:p>
    <w:p>
      <w:pPr>
        <w:ind w:firstLine="640" w:firstLineChars="200"/>
        <w:rPr>
          <w:rFonts w:hint="eastAsia" w:ascii="仿宋" w:hAnsi="仿宋" w:eastAsia="仿宋"/>
          <w:sz w:val="32"/>
          <w:szCs w:val="32"/>
          <w:u w:val="none"/>
        </w:rPr>
      </w:pPr>
      <w:r>
        <w:rPr>
          <w:rFonts w:hint="eastAsia"/>
          <w:u w:val="none"/>
          <w:lang w:val="en-US" w:eastAsia="zh-CN"/>
        </w:rPr>
        <w:t>产出指标：服务人口91.29万，</w:t>
      </w:r>
      <w:r>
        <w:rPr>
          <w:rFonts w:hint="eastAsia" w:ascii="仿宋" w:hAnsi="仿宋" w:eastAsia="仿宋"/>
          <w:sz w:val="32"/>
          <w:szCs w:val="32"/>
          <w:u w:val="none"/>
        </w:rPr>
        <w:t>居民规范化电子健康档案覆盖率达6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适龄儿童国家免疫规划疫苗接种率达90%以上</w:t>
      </w:r>
      <w:r>
        <w:rPr>
          <w:rFonts w:hint="eastAsia" w:ascii="仿宋" w:hAnsi="仿宋" w:eastAsia="仿宋"/>
          <w:sz w:val="32"/>
          <w:szCs w:val="32"/>
          <w:u w:val="none"/>
          <w:lang w:eastAsia="zh-CN"/>
        </w:rPr>
        <w:t>，</w:t>
      </w:r>
      <w:r>
        <w:rPr>
          <w:rFonts w:hint="eastAsia" w:ascii="仿宋" w:hAnsi="仿宋" w:eastAsia="仿宋"/>
          <w:sz w:val="32"/>
          <w:szCs w:val="32"/>
          <w:u w:val="none"/>
        </w:rPr>
        <w:t>7岁以下儿童健康管理率达85%以上</w:t>
      </w:r>
      <w:r>
        <w:rPr>
          <w:rFonts w:hint="eastAsia" w:ascii="仿宋" w:hAnsi="仿宋" w:eastAsia="仿宋"/>
          <w:sz w:val="32"/>
          <w:szCs w:val="32"/>
          <w:u w:val="none"/>
          <w:lang w:eastAsia="zh-CN"/>
        </w:rPr>
        <w:t>，</w:t>
      </w:r>
      <w:r>
        <w:rPr>
          <w:rFonts w:hint="eastAsia" w:ascii="仿宋" w:hAnsi="仿宋" w:eastAsia="仿宋"/>
          <w:sz w:val="32"/>
          <w:szCs w:val="32"/>
          <w:u w:val="none"/>
        </w:rPr>
        <w:t>0-6岁儿童眼保健和视力检查覆盖率达90%以上</w:t>
      </w:r>
      <w:r>
        <w:rPr>
          <w:rFonts w:hint="eastAsia" w:ascii="仿宋" w:hAnsi="仿宋" w:eastAsia="仿宋"/>
          <w:sz w:val="32"/>
          <w:szCs w:val="32"/>
          <w:u w:val="none"/>
          <w:lang w:eastAsia="zh-CN"/>
        </w:rPr>
        <w:t>，</w:t>
      </w:r>
      <w:r>
        <w:rPr>
          <w:rFonts w:hint="eastAsia" w:ascii="仿宋" w:hAnsi="仿宋" w:eastAsia="仿宋"/>
          <w:sz w:val="32"/>
          <w:szCs w:val="32"/>
          <w:u w:val="none"/>
        </w:rPr>
        <w:t>孕产妇系统管理率达90%以上</w:t>
      </w:r>
      <w:r>
        <w:rPr>
          <w:rFonts w:hint="eastAsia" w:ascii="仿宋" w:hAnsi="仿宋" w:eastAsia="仿宋"/>
          <w:sz w:val="32"/>
          <w:szCs w:val="32"/>
          <w:u w:val="none"/>
          <w:lang w:eastAsia="zh-CN"/>
        </w:rPr>
        <w:t>，</w:t>
      </w:r>
      <w:r>
        <w:rPr>
          <w:rFonts w:hint="eastAsia" w:ascii="仿宋" w:hAnsi="仿宋" w:eastAsia="仿宋"/>
          <w:sz w:val="32"/>
          <w:szCs w:val="32"/>
          <w:u w:val="none"/>
        </w:rPr>
        <w:t>65岁及以上老年人城乡社区规范健康管理服务率达6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高血压患者基层规范服务率达6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2型糖尿病患者基层规范管理服务率达6</w:t>
      </w:r>
      <w:r>
        <w:rPr>
          <w:rFonts w:hint="eastAsia" w:ascii="仿宋" w:hAnsi="仿宋" w:eastAsia="仿宋"/>
          <w:sz w:val="32"/>
          <w:szCs w:val="32"/>
          <w:u w:val="none"/>
          <w:lang w:val="en-US" w:eastAsia="zh-CN"/>
        </w:rPr>
        <w:t>2</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社区在册居家严重精神障碍患者健康管理率达</w:t>
      </w:r>
      <w:r>
        <w:rPr>
          <w:rFonts w:hint="eastAsia" w:ascii="仿宋" w:hAnsi="仿宋" w:eastAsia="仿宋"/>
          <w:sz w:val="32"/>
          <w:szCs w:val="32"/>
          <w:u w:val="none"/>
          <w:lang w:val="en-US" w:eastAsia="zh-CN"/>
        </w:rPr>
        <w:t>9</w:t>
      </w:r>
      <w:r>
        <w:rPr>
          <w:rFonts w:hint="eastAsia" w:ascii="仿宋" w:hAnsi="仿宋" w:eastAsia="仿宋"/>
          <w:sz w:val="32"/>
          <w:szCs w:val="32"/>
          <w:u w:val="none"/>
        </w:rPr>
        <w:t>0%以上</w:t>
      </w:r>
      <w:r>
        <w:rPr>
          <w:rFonts w:hint="eastAsia" w:ascii="仿宋" w:hAnsi="仿宋" w:eastAsia="仿宋"/>
          <w:sz w:val="32"/>
          <w:szCs w:val="32"/>
          <w:u w:val="none"/>
          <w:lang w:eastAsia="zh-CN"/>
        </w:rPr>
        <w:t>，</w:t>
      </w:r>
      <w:r>
        <w:rPr>
          <w:rFonts w:hint="eastAsia" w:ascii="仿宋" w:hAnsi="仿宋" w:eastAsia="仿宋"/>
          <w:sz w:val="32"/>
          <w:szCs w:val="32"/>
          <w:u w:val="none"/>
        </w:rPr>
        <w:t>肺结核患者管理率达90%以上</w:t>
      </w:r>
      <w:r>
        <w:rPr>
          <w:rFonts w:hint="eastAsia" w:ascii="仿宋" w:hAnsi="仿宋" w:eastAsia="仿宋"/>
          <w:sz w:val="32"/>
          <w:szCs w:val="32"/>
          <w:u w:val="none"/>
          <w:lang w:eastAsia="zh-CN"/>
        </w:rPr>
        <w:t>，</w:t>
      </w:r>
      <w:r>
        <w:rPr>
          <w:rFonts w:hint="eastAsia" w:ascii="仿宋" w:hAnsi="仿宋" w:eastAsia="仿宋"/>
          <w:sz w:val="32"/>
          <w:szCs w:val="32"/>
          <w:u w:val="none"/>
        </w:rPr>
        <w:t>老年人中医药健康管理率</w:t>
      </w:r>
      <w:r>
        <w:rPr>
          <w:rFonts w:hint="eastAsia" w:ascii="仿宋" w:hAnsi="仿宋" w:eastAsia="仿宋"/>
          <w:sz w:val="32"/>
          <w:szCs w:val="32"/>
          <w:u w:val="none"/>
          <w:lang w:val="en-US" w:eastAsia="zh-CN"/>
        </w:rPr>
        <w:t>70%以上，</w:t>
      </w:r>
      <w:r>
        <w:rPr>
          <w:rFonts w:hint="eastAsia" w:ascii="仿宋" w:hAnsi="仿宋" w:eastAsia="仿宋"/>
          <w:sz w:val="32"/>
          <w:szCs w:val="32"/>
          <w:u w:val="none"/>
        </w:rPr>
        <w:t>儿童中医药健康管理率达</w:t>
      </w:r>
      <w:r>
        <w:rPr>
          <w:rFonts w:hint="eastAsia" w:ascii="仿宋" w:hAnsi="仿宋" w:eastAsia="仿宋"/>
          <w:sz w:val="32"/>
          <w:szCs w:val="32"/>
          <w:u w:val="none"/>
          <w:lang w:val="en-US" w:eastAsia="zh-CN"/>
        </w:rPr>
        <w:t>77</w:t>
      </w:r>
      <w:r>
        <w:rPr>
          <w:rFonts w:hint="eastAsia" w:ascii="仿宋" w:hAnsi="仿宋" w:eastAsia="仿宋"/>
          <w:sz w:val="32"/>
          <w:szCs w:val="32"/>
          <w:u w:val="none"/>
        </w:rPr>
        <w:t>%以上</w:t>
      </w:r>
      <w:r>
        <w:rPr>
          <w:rFonts w:hint="eastAsia" w:ascii="仿宋" w:hAnsi="仿宋" w:eastAsia="仿宋"/>
          <w:sz w:val="32"/>
          <w:szCs w:val="32"/>
          <w:u w:val="none"/>
          <w:lang w:eastAsia="zh-CN"/>
        </w:rPr>
        <w:t>，</w:t>
      </w:r>
      <w:r>
        <w:rPr>
          <w:rFonts w:hint="eastAsia" w:ascii="仿宋" w:hAnsi="仿宋" w:eastAsia="仿宋"/>
          <w:sz w:val="32"/>
          <w:szCs w:val="32"/>
          <w:u w:val="none"/>
        </w:rPr>
        <w:t>传染病和突发公共卫生事件报告率达95%以上</w:t>
      </w:r>
      <w:r>
        <w:rPr>
          <w:rFonts w:hint="eastAsia" w:ascii="仿宋" w:hAnsi="仿宋" w:eastAsia="仿宋"/>
          <w:sz w:val="32"/>
          <w:szCs w:val="32"/>
          <w:u w:val="none"/>
          <w:lang w:eastAsia="zh-CN"/>
        </w:rPr>
        <w:t>等</w:t>
      </w:r>
      <w:r>
        <w:rPr>
          <w:rFonts w:hint="eastAsia" w:ascii="仿宋" w:hAnsi="仿宋" w:eastAsia="仿宋"/>
          <w:sz w:val="32"/>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效益指标：城乡居民公共卫生差距不断缩小，居民健康素养水平不断提高，基本公共卫生服务水平不断提高。</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u w:val="none"/>
          <w:lang w:val="en-US" w:eastAsia="zh-CN"/>
        </w:rPr>
        <w:t>满意度指标：服务对象满意度≥90%</w:t>
      </w:r>
      <w:r>
        <w:rPr>
          <w:rFonts w:hint="eastAsia"/>
          <w:lang w:val="en-US" w:eastAsia="zh-CN"/>
        </w:rPr>
        <w:t>。</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lang w:val="en-US" w:eastAsia="zh-CN"/>
        </w:rPr>
      </w:pPr>
      <w:r>
        <w:rPr>
          <w:rFonts w:hint="eastAsia"/>
          <w:lang w:val="en-US" w:eastAsia="zh-CN"/>
        </w:rPr>
        <w:t>人口健康发展补助经费项目。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（1）项目概况：由</w:t>
      </w:r>
      <w:r>
        <w:rPr>
          <w:rFonts w:hint="eastAsia" w:ascii="仿宋_GB2312" w:hAnsi="Microsoft JhengHei Light" w:eastAsia="仿宋_GB2312" w:cs="仿宋_GB2312"/>
          <w:sz w:val="32"/>
          <w:szCs w:val="32"/>
          <w:lang w:val="en-US" w:eastAsia="zh-CN"/>
        </w:rPr>
        <w:t>2023年新增项目生育托育奖励和免费无创产前基因检测两个项目整合而成，其中：生育托育奖励项目2023年预算安排198万元，免费无创产前基因检测项目2023年预算安排680万元。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（2）项目内容：生育奖励、托育补贴、免费无创产前基因检测</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lang w:val="en-US" w:eastAsia="zh-CN"/>
        </w:rPr>
      </w:pPr>
      <w:r>
        <w:rPr>
          <w:rFonts w:hint="eastAsia"/>
          <w:lang w:val="en-US" w:eastAsia="zh-CN"/>
        </w:rPr>
        <w:t>（3）立项依据：</w:t>
      </w:r>
      <w:r>
        <w:rPr>
          <w:rFonts w:hint="eastAsia" w:ascii="仿宋_GB2312" w:hAnsi="Microsoft JhengHei Light" w:eastAsia="仿宋_GB2312" w:cs="仿宋_GB2312"/>
          <w:sz w:val="32"/>
          <w:szCs w:val="32"/>
          <w:lang w:val="en-US" w:eastAsia="zh-CN"/>
        </w:rPr>
        <w:t>按照《关于优化生育政策促进人口长期均衡发展的实施意见》（黄发【2022】13号）文件，2022年9月1日起，对我市城区符合法律法规规定，生育二孩及以上且小孩落户黄石的家庭，一次性发放1000元生育奖励。对符合法律法规定生育的二孩及以上婴幼儿，在城区登记备案的托育机构入托的，按照每人每年500元标准给予托育机构补贴，所需经费由市级和城区各承担50%。开展托育机构示范创建活动，每两年在全市评选20个示范托育机构予以表扬，分别给予5万元奖补资金。按照《关于开展免费孕妇无创产前DNA检测及诊断项目实施方案》（黄卫办通【2023】3号），每例孕妇无创产前DNA检测按680元结算</w:t>
      </w:r>
      <w:r>
        <w:rPr>
          <w:rFonts w:hint="eastAsia" w:ascii="仿宋" w:hAnsi="仿宋" w:eastAsia="仿宋" w:cs="仿宋"/>
          <w:color w:val="000000"/>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（4）实施单位：</w:t>
      </w:r>
      <w:r>
        <w:rPr>
          <w:rFonts w:hint="eastAsia"/>
          <w:highlight w:val="none"/>
          <w:u w:val="none"/>
          <w:lang w:val="en-US" w:eastAsia="zh-CN"/>
        </w:rPr>
        <w:t>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（6）年度预算安排：</w:t>
      </w:r>
      <w:r>
        <w:rPr>
          <w:rFonts w:hint="eastAsia" w:ascii="黑体" w:hAnsi="黑体" w:eastAsia="黑体" w:cs="黑体"/>
          <w:b w:val="0"/>
          <w:bCs w:val="0"/>
          <w:sz w:val="32"/>
          <w:szCs w:val="32"/>
          <w:u w:val="none"/>
          <w:lang w:val="en-US" w:eastAsia="zh-CN"/>
        </w:rPr>
        <w:t>2024</w:t>
      </w:r>
      <w:r>
        <w:rPr>
          <w:rFonts w:hint="eastAsia"/>
          <w:lang w:val="en-US" w:eastAsia="zh-CN"/>
        </w:rPr>
        <w:t>年预算安排</w:t>
      </w:r>
      <w:r>
        <w:rPr>
          <w:rFonts w:hint="eastAsia" w:ascii="仿宋_GB2312"/>
          <w:bCs/>
          <w:kern w:val="44"/>
          <w:sz w:val="32"/>
          <w:szCs w:val="32"/>
          <w:highlight w:val="none"/>
          <w:u w:val="single"/>
          <w:lang w:val="en-US" w:eastAsia="zh-CN"/>
        </w:rPr>
        <w:t>400</w:t>
      </w:r>
      <w:r>
        <w:rPr>
          <w:rFonts w:hint="eastAsia"/>
          <w:lang w:val="en-US" w:eastAsia="zh-CN"/>
        </w:rPr>
        <w:t>万元，</w:t>
      </w:r>
      <w:r>
        <w:rPr>
          <w:rFonts w:hint="eastAsia"/>
          <w:u w:val="none"/>
          <w:lang w:val="en-US" w:eastAsia="zh-CN"/>
        </w:rPr>
        <w:t>比上年减少478万元，</w:t>
      </w:r>
      <w:r>
        <w:rPr>
          <w:rFonts w:hint="eastAsia" w:ascii="仿宋_GB2312"/>
          <w:bCs/>
          <w:kern w:val="44"/>
          <w:sz w:val="32"/>
          <w:szCs w:val="32"/>
          <w:highlight w:val="none"/>
          <w:u w:val="none"/>
          <w:lang w:eastAsia="zh-CN"/>
        </w:rPr>
        <w:t>减少</w:t>
      </w:r>
      <w:r>
        <w:rPr>
          <w:rFonts w:hint="eastAsia" w:ascii="仿宋_GB2312"/>
          <w:bCs/>
          <w:kern w:val="44"/>
          <w:sz w:val="32"/>
          <w:szCs w:val="32"/>
          <w:highlight w:val="none"/>
          <w:u w:val="none"/>
          <w:lang w:val="en-US" w:eastAsia="zh-CN"/>
        </w:rPr>
        <w:t>54.44</w:t>
      </w:r>
      <w:r>
        <w:rPr>
          <w:rFonts w:hint="eastAsia" w:ascii="仿宋_GB2312" w:eastAsia="仿宋_GB2312"/>
          <w:bCs/>
          <w:kern w:val="44"/>
          <w:sz w:val="32"/>
          <w:szCs w:val="32"/>
          <w:highlight w:val="none"/>
          <w:u w:val="none"/>
        </w:rPr>
        <w:t>%</w:t>
      </w:r>
      <w:r>
        <w:rPr>
          <w:rFonts w:hint="eastAsia"/>
          <w:u w:val="none"/>
          <w:lang w:val="en-US" w:eastAsia="zh-CN"/>
        </w:rPr>
        <w:t>。其中，400万元资金来源全部为当年一般公共预算财政拨款</w:t>
      </w:r>
      <w:r>
        <w:rPr>
          <w:rFonts w:hint="eastAsia"/>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（7）</w:t>
      </w:r>
      <w:r>
        <w:rPr>
          <w:rFonts w:hint="eastAsia" w:ascii="黑体" w:hAnsi="黑体" w:eastAsia="黑体" w:cs="黑体"/>
          <w:b w:val="0"/>
          <w:bCs w:val="0"/>
          <w:sz w:val="32"/>
          <w:szCs w:val="32"/>
          <w:u w:val="none"/>
          <w:lang w:val="en-US" w:eastAsia="zh-CN"/>
        </w:rPr>
        <w:t>2024</w:t>
      </w:r>
      <w:r>
        <w:rPr>
          <w:rFonts w:hint="eastAsia"/>
          <w:lang w:val="en-US" w:eastAsia="zh-CN"/>
        </w:rPr>
        <w:t>年度项目绩效总目标是：有效释放生育潜能，提升家庭发展能力。</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产出指标：生育奖励人数2800人，托育补贴人数800人，无创产前DNA检测人数8000人，奖励资金补助合规率100%，资金发放完成比例100%，奖励资金补助及时率100%。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效益指标：促进优生优育。</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lang w:val="en-US" w:eastAsia="zh-CN"/>
        </w:rPr>
        <w:t>满意度指标：受奖励对象满意度≥90%。</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lang w:val="en-US" w:eastAsia="zh-CN"/>
        </w:rPr>
        <w:t>医疗机构取消药品加成财政专项补助经费项目。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u w:val="none"/>
          <w:lang w:val="en-US" w:eastAsia="zh-CN"/>
        </w:rPr>
      </w:pPr>
      <w:r>
        <w:rPr>
          <w:rFonts w:hint="eastAsia"/>
          <w:u w:val="none"/>
          <w:lang w:val="en-US" w:eastAsia="zh-CN"/>
        </w:rPr>
        <w:t>（1）项目概况：</w:t>
      </w:r>
      <w:r>
        <w:rPr>
          <w:rFonts w:hint="eastAsia" w:ascii="仿宋" w:hAnsi="仿宋" w:eastAsia="仿宋"/>
          <w:sz w:val="32"/>
          <w:szCs w:val="32"/>
          <w:u w:val="none"/>
        </w:rPr>
        <w:t>为全面取消药品加成，进一步深化我市城市公立医院综合改革，城市公立医院全面取消药品加成（中药饮片除外），破除以药补医机制。将公立医院补偿由服务收费、药品加成收入和政府补助三个渠道改为服务收费和举办机构补助两个渠道。通过调整医疗服务价格、加大政府投入、改革支付方式、降低医院运行成本等，建立科学合理的补偿机制。缓解群众看病贵。所有公立医院全面取消药品加成（中药饮片除外）。对医院减少的合理收入的补偿，原则上通过医疗技术服务价格调整补偿80%，政府补助20%。对本地区城市公立医院取消药品加成政府补助部分采取绩效考核方式予以补助。我市于2017年7月31日12时取消药品加成。公立医院补偿由服务收费、药品加成收入和政府补助三个渠道改为服务收费和举办机构补助两个渠道，公立医院减少的收入通过价格和财政补偿予以弥补</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eastAsia="仿宋"/>
          <w:u w:val="none"/>
          <w:lang w:val="en-US" w:eastAsia="zh-CN"/>
        </w:rPr>
      </w:pPr>
      <w:r>
        <w:rPr>
          <w:rFonts w:hint="eastAsia"/>
          <w:u w:val="none"/>
          <w:lang w:val="en-US" w:eastAsia="zh-CN"/>
        </w:rPr>
        <w:t>（2）项目内容：</w:t>
      </w:r>
      <w:r>
        <w:rPr>
          <w:rFonts w:hint="eastAsia" w:ascii="仿宋" w:hAnsi="仿宋" w:eastAsia="仿宋"/>
          <w:sz w:val="32"/>
          <w:szCs w:val="32"/>
          <w:u w:val="none"/>
        </w:rPr>
        <w:t>全市市中心医院、市妇幼保健院、市中医医院、市二医院、市四医院、市五医院、市精神病院、市结防院、武钢大冶铁矿职工医院、黄石国安医院、十五冶职工医院、湖北理工学院黄石团城山骨科医院、金山店铁矿职工医院、灵乡铁矿职工医院等14家医疗机构，药品加成收入（不含中药饮片）总计10085万元，其中按政策价格补偿80%，计8068万元，财政补偿20%，计2017万元。经费主要用于公立医院落实医改目标，保障</w:t>
      </w:r>
      <w:r>
        <w:rPr>
          <w:rFonts w:hint="eastAsia" w:ascii="仿宋" w:hAnsi="仿宋" w:eastAsia="仿宋"/>
          <w:sz w:val="32"/>
          <w:szCs w:val="32"/>
          <w:u w:val="none"/>
          <w:lang w:eastAsia="zh-CN"/>
        </w:rPr>
        <w:t>医疗机构</w:t>
      </w:r>
      <w:r>
        <w:rPr>
          <w:rFonts w:hint="eastAsia" w:ascii="仿宋" w:hAnsi="仿宋" w:eastAsia="仿宋"/>
          <w:sz w:val="32"/>
          <w:szCs w:val="32"/>
          <w:u w:val="none"/>
        </w:rPr>
        <w:t>运行</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w:t>
      </w:r>
      <w:r>
        <w:rPr>
          <w:rFonts w:hint="eastAsia" w:ascii="仿宋" w:hAnsi="仿宋" w:eastAsia="仿宋"/>
          <w:sz w:val="32"/>
          <w:szCs w:val="32"/>
          <w:u w:val="none"/>
        </w:rPr>
        <w:t>根据《国务院办公厅关于城市公立医院综合改革试点的指导意见》（国办发〔2015〕38号）、省医改办省卫生计生委等七部门《关于取消药品加成全面启动城市公立医院综合改革工作的通知》（鄂医改办发〔2017〕1号）、市医改办、市卫计委《关于取消药品加成全面启动城市公立医院综合改革工作的通知》（黄医改【2017】4号）有关要求。</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w:t>
      </w:r>
      <w:r>
        <w:rPr>
          <w:rFonts w:hint="eastAsia"/>
          <w:highlight w:val="none"/>
          <w:u w:val="none"/>
          <w:lang w:val="en-US" w:eastAsia="zh-CN"/>
        </w:rPr>
        <w:t>黄石市卫生健康委员会</w:t>
      </w:r>
      <w:r>
        <w:rPr>
          <w:rFonts w:hint="eastAsia" w:ascii="仿宋" w:hAnsi="仿宋" w:eastAsia="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（5）项目期：2024年。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w:t>
      </w:r>
      <w:r>
        <w:rPr>
          <w:rFonts w:hint="eastAsia" w:ascii="黑体" w:hAnsi="黑体" w:eastAsia="黑体" w:cs="黑体"/>
          <w:b w:val="0"/>
          <w:bCs w:val="0"/>
          <w:sz w:val="32"/>
          <w:szCs w:val="32"/>
          <w:u w:val="none"/>
          <w:lang w:val="en-US" w:eastAsia="zh-CN"/>
        </w:rPr>
        <w:t>2024</w:t>
      </w:r>
      <w:r>
        <w:rPr>
          <w:rFonts w:hint="eastAsia"/>
          <w:u w:val="none"/>
          <w:lang w:val="en-US" w:eastAsia="zh-CN"/>
        </w:rPr>
        <w:t>年预算安排</w:t>
      </w:r>
      <w:r>
        <w:rPr>
          <w:rFonts w:hint="eastAsia" w:ascii="仿宋_GB2312"/>
          <w:bCs/>
          <w:kern w:val="44"/>
          <w:sz w:val="32"/>
          <w:szCs w:val="32"/>
          <w:highlight w:val="none"/>
          <w:u w:val="none"/>
          <w:lang w:val="en-US" w:eastAsia="zh-CN"/>
        </w:rPr>
        <w:t>2017</w:t>
      </w:r>
      <w:r>
        <w:rPr>
          <w:rFonts w:hint="eastAsia"/>
          <w:u w:val="none"/>
          <w:lang w:val="en-US" w:eastAsia="zh-CN"/>
        </w:rPr>
        <w:t>万元，比上年增长27万元，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1.36</w:t>
      </w:r>
      <w:r>
        <w:rPr>
          <w:rFonts w:hint="eastAsia" w:ascii="仿宋_GB2312" w:eastAsia="仿宋_GB2312"/>
          <w:bCs/>
          <w:kern w:val="44"/>
          <w:sz w:val="32"/>
          <w:szCs w:val="32"/>
          <w:highlight w:val="none"/>
          <w:u w:val="none"/>
        </w:rPr>
        <w:t>%</w:t>
      </w:r>
      <w:r>
        <w:rPr>
          <w:rFonts w:hint="eastAsia"/>
          <w:u w:val="none"/>
          <w:lang w:val="en-US" w:eastAsia="zh-CN"/>
        </w:rPr>
        <w:t>。其中，2017万元资金来源为当年一般公共预算财政拨款。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w:t>
      </w:r>
      <w:r>
        <w:rPr>
          <w:rFonts w:hint="eastAsia" w:ascii="黑体" w:hAnsi="黑体" w:eastAsia="黑体" w:cs="黑体"/>
          <w:b w:val="0"/>
          <w:bCs w:val="0"/>
          <w:sz w:val="32"/>
          <w:szCs w:val="32"/>
          <w:u w:val="none"/>
          <w:lang w:val="en-US" w:eastAsia="zh-CN"/>
        </w:rPr>
        <w:t>2024</w:t>
      </w:r>
      <w:r>
        <w:rPr>
          <w:rFonts w:hint="eastAsia"/>
          <w:u w:val="none"/>
          <w:lang w:val="en-US" w:eastAsia="zh-CN"/>
        </w:rPr>
        <w:t>年度项目绩效总目标是：落实医改目标任务，公立医院取消药品加成。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产出指标：取消药品加成医疗机构数14家医院，药品加成（中药饮片除外）零加成，财政补偿完成比例100%，政府补偿完成及时率100%，预算控制率100%。</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效益指标：减轻患者负担，破除以药补医机制，促进公立医院健康规范发展。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满意度指标：群众满意度≧90%。</w:t>
      </w:r>
    </w:p>
    <w:p>
      <w:pPr>
        <w:pStyle w:val="6"/>
        <w:numPr>
          <w:ilvl w:val="0"/>
          <w:numId w:val="0"/>
        </w:numPr>
        <w:ind w:firstLine="640" w:firstLineChars="200"/>
        <w:rPr>
          <w:rFonts w:hint="eastAsia" w:ascii="仿宋_GB2312" w:eastAsia="仿宋_GB2312"/>
          <w:b w:val="0"/>
          <w:bCs w:val="0"/>
          <w:color w:val="00000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卫生健康管理服务经费项目。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（1）项目概况：由于卫生健康和计生工作职能整合，将原计生事业费、老年健康服务专项经费、疾病应急救助基金等纳入卫生健康管理服务经费中统筹使用。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2）项目内容：2023年卫生服务工作经费430万元明细组成：失独家庭住院护理险40万元，计划生育特殊家庭公交温馨卡50万元，计生协项目配套经费及工作经费6万元，计划生育利益导向260万元，卫生健康宣教费10万元，职称评审等评审费16万元，疾病应急救助基金3万元，信息化经费30万元、老龄工作经费15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中华人民共和国人口与计划生育条例》、《湖北省人口与计划生育条例》、《财政部人口计生委关于完善人口和计划生育投入保障机制的意见》。《黄石市村卫生室全科医生定向委托培养定向招聘工作实施方案》(黄政办发〔2017〕49号)，《湖北省省级党政机关评审费管理暂行办法》、《黄石市市级党政机关会议管理费管理办法》、《关于开展2020年度黄石市卫生专业技术高级职务资格区域评审申报工作的通知》、《医院评审暂行办法》、《“十三五”健康老龄化规划》，《市委办公室市政府办公室关于印发黄石市卫生健康委员会职能配置、内设机构和人员编制规定的通知》（黄办文【2019】14号）等。国办发〔2013〕15号《国务院办公厅关于建立疾病应急救助制度的指导意见》、鄂财政发[2014]101号《湖北省疾病应急救助基金管理暂行办法》、鄂卫生计生发[2017]22号《湖北省疾病应急救助基金管理办法》、黄石政规[2014]2号《黄石市疾病应急救助制度实施细则（试行）》、《市财政局关于编制市直部门2020年预算和2020-2022年支出规划的通知》（黄财预发【2019】190号）、《湖北省事业单位政府购买服务改革实施方案》（鄂财综发[2016]44号）、《黄石市财政局关于做好政府购买服务指导性目录编制管理工作的通知》（黄财综发(2019)153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（5）项目期：2023年度。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w:t>
      </w:r>
      <w:r>
        <w:rPr>
          <w:rFonts w:hint="eastAsia" w:ascii="黑体" w:hAnsi="黑体" w:eastAsia="黑体" w:cs="黑体"/>
          <w:b w:val="0"/>
          <w:bCs w:val="0"/>
          <w:sz w:val="32"/>
          <w:szCs w:val="32"/>
          <w:u w:val="none"/>
          <w:lang w:val="en-US" w:eastAsia="zh-CN"/>
        </w:rPr>
        <w:t>2023</w:t>
      </w:r>
      <w:r>
        <w:rPr>
          <w:rFonts w:hint="eastAsia"/>
          <w:u w:val="none"/>
          <w:lang w:val="en-US" w:eastAsia="zh-CN"/>
        </w:rPr>
        <w:t>年预算安排430万元，比上年增长0万元，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。其中，430万元资金全部来源为当年一般公共预算财政拨款。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w:t>
      </w:r>
      <w:r>
        <w:rPr>
          <w:rFonts w:hint="eastAsia" w:ascii="黑体" w:hAnsi="黑体" w:eastAsia="黑体" w:cs="黑体"/>
          <w:b w:val="0"/>
          <w:bCs w:val="0"/>
          <w:sz w:val="32"/>
          <w:szCs w:val="32"/>
          <w:u w:val="none"/>
          <w:lang w:val="en-US" w:eastAsia="zh-CN"/>
        </w:rPr>
        <w:t>2023</w:t>
      </w:r>
      <w:r>
        <w:rPr>
          <w:rFonts w:hint="eastAsia"/>
          <w:u w:val="none"/>
          <w:lang w:val="en-US" w:eastAsia="zh-CN"/>
        </w:rPr>
        <w:t>年度项目绩效总目标是：</w:t>
      </w:r>
      <w:r>
        <w:rPr>
          <w:rFonts w:hint="eastAsia" w:ascii="仿宋_GB2312" w:hAnsi="仿宋_GB2312" w:eastAsia="仿宋_GB2312" w:cs="仿宋_GB2312"/>
          <w:b w:val="0"/>
          <w:bCs w:val="0"/>
          <w:sz w:val="32"/>
          <w:szCs w:val="32"/>
          <w:highlight w:val="none"/>
          <w:u w:val="none"/>
          <w:lang w:val="en-US" w:eastAsia="zh-CN"/>
        </w:rPr>
        <w:t>深入推进计生转型发展，重点保障计生两扶、监督执法、住院护理险、计生助你行等工作；为身份不明或无力支付费用的急危重伤病患者得到及时救助、有效的救助。保障职称评审等工作正常开展</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w:t>
      </w:r>
      <w:r>
        <w:rPr>
          <w:rFonts w:hint="eastAsia" w:ascii="仿宋_GB2312" w:hAnsi="仿宋_GB2312" w:eastAsia="仿宋_GB2312" w:cs="仿宋_GB2312"/>
          <w:b w:val="0"/>
          <w:bCs w:val="0"/>
          <w:sz w:val="32"/>
          <w:szCs w:val="32"/>
          <w:highlight w:val="none"/>
          <w:u w:val="none"/>
          <w:lang w:val="en-US" w:eastAsia="zh-CN"/>
        </w:rPr>
        <w:t>一次性抚慰金人员</w:t>
      </w:r>
      <w:r>
        <w:rPr>
          <w:rFonts w:hint="eastAsia" w:ascii="仿宋_GB2312" w:hAnsi="仿宋_GB2312" w:cs="仿宋_GB2312"/>
          <w:b w:val="0"/>
          <w:bCs w:val="0"/>
          <w:sz w:val="32"/>
          <w:szCs w:val="32"/>
          <w:highlight w:val="none"/>
          <w:u w:val="none"/>
          <w:lang w:val="en-US" w:eastAsia="zh-CN"/>
        </w:rPr>
        <w:t>96</w:t>
      </w:r>
      <w:r>
        <w:rPr>
          <w:rFonts w:hint="eastAsia" w:ascii="仿宋_GB2312" w:hAnsi="仿宋_GB2312" w:eastAsia="仿宋_GB2312" w:cs="仿宋_GB2312"/>
          <w:b w:val="0"/>
          <w:bCs w:val="0"/>
          <w:sz w:val="32"/>
          <w:szCs w:val="32"/>
          <w:highlight w:val="none"/>
          <w:u w:val="none"/>
          <w:lang w:val="en-US" w:eastAsia="zh-CN"/>
        </w:rPr>
        <w:t>人；两扶人员2</w:t>
      </w:r>
      <w:r>
        <w:rPr>
          <w:rFonts w:hint="eastAsia" w:ascii="仿宋_GB2312" w:hAnsi="仿宋_GB2312" w:cs="仿宋_GB2312"/>
          <w:b w:val="0"/>
          <w:bCs w:val="0"/>
          <w:sz w:val="32"/>
          <w:szCs w:val="32"/>
          <w:highlight w:val="none"/>
          <w:u w:val="none"/>
          <w:lang w:val="en-US" w:eastAsia="zh-CN"/>
        </w:rPr>
        <w:t>599</w:t>
      </w:r>
      <w:r>
        <w:rPr>
          <w:rFonts w:hint="eastAsia" w:ascii="仿宋_GB2312" w:hAnsi="仿宋_GB2312" w:eastAsia="仿宋_GB2312" w:cs="仿宋_GB2312"/>
          <w:b w:val="0"/>
          <w:bCs w:val="0"/>
          <w:sz w:val="32"/>
          <w:szCs w:val="32"/>
          <w:highlight w:val="none"/>
          <w:u w:val="none"/>
          <w:lang w:val="en-US" w:eastAsia="zh-CN"/>
        </w:rPr>
        <w:t>人；开展敬老月活动不少于1次；计生技术服务不少于900人次</w:t>
      </w:r>
      <w:r>
        <w:rPr>
          <w:rFonts w:hint="eastAsia" w:ascii="仿宋_GB2312" w:hAnsi="仿宋_GB2312" w:cs="仿宋_GB2312"/>
          <w:b w:val="0"/>
          <w:bCs w:val="0"/>
          <w:sz w:val="32"/>
          <w:szCs w:val="32"/>
          <w:highlight w:val="none"/>
          <w:u w:val="none"/>
          <w:lang w:val="en-US" w:eastAsia="zh-CN"/>
        </w:rPr>
        <w:t>；职称评审、重点学科建设等不少于1次；计划生育特殊家庭公交温馨卡发放完成率1次</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w:t>
      </w:r>
      <w:r>
        <w:rPr>
          <w:rFonts w:hint="eastAsia" w:ascii="仿宋_GB2312" w:hAnsi="仿宋_GB2312" w:eastAsia="仿宋_GB2312" w:cs="仿宋_GB2312"/>
          <w:b w:val="0"/>
          <w:bCs w:val="0"/>
          <w:sz w:val="32"/>
          <w:szCs w:val="32"/>
          <w:highlight w:val="none"/>
          <w:u w:val="none"/>
          <w:lang w:val="en-US" w:eastAsia="zh-CN"/>
        </w:rPr>
        <w:t>受助对象经济负担减轻；两扶及抚慰对象受到关怀认可度≥90%；落实计划生育基本国策；较大促进维护生育健康、社会和谐稳定、计生事业转型发展</w:t>
      </w:r>
      <w:r>
        <w:rPr>
          <w:rFonts w:hint="eastAsia"/>
          <w:u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ascii="仿宋_GB2312"/>
          <w:b/>
          <w:bCs/>
          <w:color w:val="000000"/>
          <w:sz w:val="32"/>
          <w:szCs w:val="32"/>
          <w:highlight w:val="none"/>
          <w:lang w:val="en-US" w:eastAsia="zh-CN"/>
        </w:rPr>
      </w:pPr>
      <w:r>
        <w:rPr>
          <w:rFonts w:hint="eastAsia"/>
          <w:u w:val="none"/>
          <w:lang w:val="en-US" w:eastAsia="zh-CN"/>
        </w:rPr>
        <w:t>满意度指标</w:t>
      </w:r>
      <w:r>
        <w:rPr>
          <w:rFonts w:hint="eastAsia" w:ascii="仿宋_GB2312" w:hAnsi="仿宋_GB2312" w:eastAsia="仿宋_GB2312" w:cs="仿宋_GB2312"/>
          <w:b w:val="0"/>
          <w:bCs w:val="0"/>
          <w:sz w:val="32"/>
          <w:szCs w:val="32"/>
          <w:highlight w:val="none"/>
          <w:u w:val="none"/>
          <w:lang w:val="en-US" w:eastAsia="zh-CN"/>
        </w:rPr>
        <w:t>：受助对象及家庭满意度85%以上</w:t>
      </w:r>
      <w:r>
        <w:rPr>
          <w:rFonts w:hint="eastAsia" w:ascii="仿宋_GB2312" w:hAnsi="仿宋_GB2312" w:cs="仿宋_GB2312"/>
          <w:b w:val="0"/>
          <w:bCs w:val="0"/>
          <w:sz w:val="32"/>
          <w:szCs w:val="32"/>
          <w:highlight w:val="none"/>
          <w:u w:val="none"/>
          <w:lang w:val="en-US" w:eastAsia="zh-CN"/>
        </w:rPr>
        <w:t>。</w:t>
      </w:r>
    </w:p>
    <w:p>
      <w:pPr>
        <w:keepNext w:val="0"/>
        <w:keepLines w:val="0"/>
        <w:pageBreakBefore w:val="0"/>
        <w:widowControl w:val="0"/>
        <w:numPr>
          <w:ilvl w:val="0"/>
          <w:numId w:val="2"/>
        </w:numPr>
        <w:kinsoku/>
        <w:wordWrap/>
        <w:overflowPunct/>
        <w:topLinePunct w:val="0"/>
        <w:autoSpaceDE/>
        <w:autoSpaceDN/>
        <w:bidi w:val="0"/>
        <w:spacing w:line="480" w:lineRule="exact"/>
        <w:ind w:right="0" w:rightChars="0" w:firstLine="643" w:firstLineChars="200"/>
        <w:jc w:val="both"/>
        <w:textAlignment w:val="auto"/>
        <w:outlineLvl w:val="9"/>
        <w:rPr>
          <w:rFonts w:hint="eastAsia" w:ascii="仿宋_GB2312"/>
          <w:b/>
          <w:bCs/>
          <w:color w:val="000000"/>
          <w:sz w:val="32"/>
          <w:szCs w:val="32"/>
          <w:highlight w:val="none"/>
          <w:lang w:val="en-US" w:eastAsia="zh-CN"/>
        </w:rPr>
      </w:pPr>
      <w:r>
        <w:rPr>
          <w:rFonts w:hint="eastAsia" w:ascii="仿宋_GB2312"/>
          <w:b/>
          <w:bCs/>
          <w:color w:val="000000"/>
          <w:sz w:val="32"/>
          <w:szCs w:val="32"/>
          <w:highlight w:val="none"/>
          <w:lang w:val="en-US" w:eastAsia="zh-CN"/>
        </w:rPr>
        <w:t xml:space="preserve"> </w:t>
      </w:r>
      <w:r>
        <w:rPr>
          <w:rFonts w:hint="eastAsia" w:ascii="仿宋_GB2312"/>
          <w:b w:val="0"/>
          <w:bCs w:val="0"/>
          <w:color w:val="000000"/>
          <w:sz w:val="32"/>
          <w:szCs w:val="32"/>
          <w:highlight w:val="none"/>
          <w:lang w:val="en-US" w:eastAsia="zh-CN"/>
        </w:rPr>
        <w:t>卫生健康管理服务经费项目</w:t>
      </w:r>
      <w:r>
        <w:rPr>
          <w:rFonts w:hint="eastAsia" w:ascii="仿宋_GB2312"/>
          <w:b/>
          <w:bCs/>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（1）项目概况：根据卫生健康职能职责，将智慧医疗、计生事业费、业务评审等纳入卫生健康管理服务经费中统筹使用。</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（2）项目内容：2024年卫生服务工作经费430万元明细组成：失独家庭住院护理险40万元，计划生育家庭奖励扶助、特别扶助371万元等。</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3）立项依据：《湖北省省级党政机关评审费管理暂行办法》、《黄石市市级党政机关会议管理费管理办法》、《关于开展2020年度黄石市卫生专业技术高级职务资格区域评审申报工作的通知》、《医院评审暂行办法》，《市委办公室市政府办公室关于印发黄石市卫生健康委员会职能配置、内设机构和人员编制规定的通知》（黄办文【2019】14号）等。《湖北省事业单位政府购买服务改革实施方案》（鄂财综发[2016]44号）、《黄石市财政局关于做好政府购买服务指导性目录编制管理工作的通知》（黄财综发(2019)153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（4）实施单位：黄石市卫生健康委员会。</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（6）年度预算安排：</w:t>
      </w:r>
      <w:r>
        <w:rPr>
          <w:rFonts w:hint="eastAsia" w:ascii="黑体" w:hAnsi="黑体" w:eastAsia="黑体" w:cs="黑体"/>
          <w:b w:val="0"/>
          <w:bCs w:val="0"/>
          <w:sz w:val="32"/>
          <w:szCs w:val="32"/>
          <w:u w:val="none"/>
          <w:lang w:val="en-US" w:eastAsia="zh-CN"/>
        </w:rPr>
        <w:t>2024</w:t>
      </w:r>
      <w:r>
        <w:rPr>
          <w:rFonts w:hint="eastAsia"/>
          <w:u w:val="none"/>
          <w:lang w:val="en-US" w:eastAsia="zh-CN"/>
        </w:rPr>
        <w:t>年预算安排430万元，比上年增长0万元，</w:t>
      </w:r>
      <w:r>
        <w:rPr>
          <w:rFonts w:hint="eastAsia" w:ascii="仿宋_GB2312" w:eastAsia="仿宋_GB2312"/>
          <w:bCs/>
          <w:kern w:val="44"/>
          <w:sz w:val="32"/>
          <w:szCs w:val="32"/>
          <w:highlight w:val="none"/>
          <w:u w:val="none"/>
        </w:rPr>
        <w:t>增长</w:t>
      </w:r>
      <w:r>
        <w:rPr>
          <w:rFonts w:hint="eastAsia" w:ascii="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w:t>
      </w:r>
      <w:r>
        <w:rPr>
          <w:rFonts w:hint="eastAsia"/>
          <w:u w:val="none"/>
          <w:lang w:val="en-US" w:eastAsia="zh-CN"/>
        </w:rPr>
        <w:t>。其中，430万元资金全部来源为当年一般公共预算财政拨款。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（7）</w:t>
      </w:r>
      <w:r>
        <w:rPr>
          <w:rFonts w:hint="eastAsia" w:ascii="黑体" w:hAnsi="黑体" w:eastAsia="黑体" w:cs="黑体"/>
          <w:b w:val="0"/>
          <w:bCs w:val="0"/>
          <w:sz w:val="32"/>
          <w:szCs w:val="32"/>
          <w:u w:val="none"/>
          <w:lang w:val="en-US" w:eastAsia="zh-CN"/>
        </w:rPr>
        <w:t>2024</w:t>
      </w:r>
      <w:r>
        <w:rPr>
          <w:rFonts w:hint="eastAsia"/>
          <w:u w:val="none"/>
          <w:lang w:val="en-US" w:eastAsia="zh-CN"/>
        </w:rPr>
        <w:t>年度项目绩效总目标是：</w:t>
      </w:r>
      <w:r>
        <w:rPr>
          <w:rFonts w:hint="eastAsia" w:ascii="仿宋_GB2312" w:hAnsi="仿宋_GB2312" w:eastAsia="仿宋_GB2312" w:cs="仿宋_GB2312"/>
          <w:b w:val="0"/>
          <w:bCs w:val="0"/>
          <w:sz w:val="32"/>
          <w:szCs w:val="32"/>
          <w:highlight w:val="none"/>
          <w:u w:val="none"/>
          <w:lang w:val="en-US" w:eastAsia="zh-CN"/>
        </w:rPr>
        <w:t>深入推进计生转型发展，重点保障计生两扶、监督执法、住院护理险、计生助你行等工作；为身份不明或无力支付费用的急危重伤病患者得到及时救助、有效的救助。保障职称评审等工作正常开展</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产出指标：</w:t>
      </w:r>
      <w:r>
        <w:rPr>
          <w:rFonts w:hint="eastAsia" w:ascii="仿宋_GB2312" w:hAnsi="仿宋_GB2312" w:eastAsia="仿宋_GB2312" w:cs="仿宋_GB2312"/>
          <w:b w:val="0"/>
          <w:bCs w:val="0"/>
          <w:sz w:val="32"/>
          <w:szCs w:val="32"/>
          <w:highlight w:val="none"/>
          <w:u w:val="none"/>
          <w:lang w:val="en-US" w:eastAsia="zh-CN"/>
        </w:rPr>
        <w:t>职称评审、重点学科建设等不少于1次，两扶人员1764人，独生子女死亡家庭一次性抚慰金人数110人，农村计划生育家庭奖励扶助人数520人，生育关怀助你行补助人员600人，补助资金发放标准执行合规率100%，工作任务完成及时率100%</w:t>
      </w:r>
      <w:r>
        <w:rPr>
          <w:rFonts w:hint="eastAsia"/>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u w:val="none"/>
          <w:lang w:val="en-US" w:eastAsia="zh-CN"/>
        </w:rPr>
      </w:pPr>
      <w:r>
        <w:rPr>
          <w:rFonts w:hint="eastAsia"/>
          <w:u w:val="none"/>
          <w:lang w:val="en-US" w:eastAsia="zh-CN"/>
        </w:rPr>
        <w:t>效益指标：</w:t>
      </w:r>
      <w:r>
        <w:rPr>
          <w:rFonts w:hint="eastAsia" w:ascii="仿宋_GB2312" w:hAnsi="仿宋_GB2312" w:eastAsia="仿宋_GB2312" w:cs="仿宋_GB2312"/>
          <w:b w:val="0"/>
          <w:bCs w:val="0"/>
          <w:sz w:val="32"/>
          <w:szCs w:val="32"/>
          <w:highlight w:val="none"/>
          <w:u w:val="none"/>
          <w:lang w:val="en-US" w:eastAsia="zh-CN"/>
        </w:rPr>
        <w:t>受助对象经济负担减轻，落实计划生育基本国策，较大促进维护生育健康、社会和谐稳定，较大促进计生事业转型发展</w:t>
      </w:r>
      <w:r>
        <w:rPr>
          <w:rFonts w:hint="eastAsia"/>
          <w:u w:val="none"/>
          <w:lang w:val="en-US" w:eastAsia="zh-CN"/>
        </w:rPr>
        <w:t>。</w:t>
      </w:r>
    </w:p>
    <w:p>
      <w:pPr>
        <w:adjustRightInd w:val="0"/>
        <w:snapToGrid w:val="0"/>
        <w:spacing w:line="580" w:lineRule="atLeast"/>
        <w:ind w:firstLine="640" w:firstLineChars="200"/>
        <w:rPr>
          <w:rFonts w:hint="eastAsia" w:ascii="仿宋_GB2312" w:hAnsi="仿宋_GB2312" w:cs="仿宋_GB2312"/>
          <w:b w:val="0"/>
          <w:bCs w:val="0"/>
          <w:sz w:val="32"/>
          <w:szCs w:val="32"/>
          <w:highlight w:val="none"/>
          <w:u w:val="none"/>
          <w:lang w:val="en-US" w:eastAsia="zh-CN"/>
        </w:rPr>
      </w:pPr>
      <w:r>
        <w:rPr>
          <w:rFonts w:hint="eastAsia"/>
          <w:u w:val="none"/>
          <w:lang w:val="en-US" w:eastAsia="zh-CN"/>
        </w:rPr>
        <w:t>满意度指标</w:t>
      </w:r>
      <w:r>
        <w:rPr>
          <w:rFonts w:hint="eastAsia" w:ascii="仿宋_GB2312" w:hAnsi="仿宋_GB2312" w:eastAsia="仿宋_GB2312" w:cs="仿宋_GB2312"/>
          <w:b w:val="0"/>
          <w:bCs w:val="0"/>
          <w:sz w:val="32"/>
          <w:szCs w:val="32"/>
          <w:highlight w:val="none"/>
          <w:u w:val="none"/>
          <w:lang w:val="en-US" w:eastAsia="zh-CN"/>
        </w:rPr>
        <w:t>：受助对象及家庭满意度</w:t>
      </w:r>
      <w:r>
        <w:rPr>
          <w:rFonts w:hint="eastAsia" w:ascii="仿宋_GB2312" w:hAnsi="仿宋_GB2312" w:cs="仿宋_GB2312"/>
          <w:b w:val="0"/>
          <w:bCs w:val="0"/>
          <w:sz w:val="32"/>
          <w:szCs w:val="32"/>
          <w:highlight w:val="none"/>
          <w:u w:val="none"/>
          <w:lang w:val="en-US" w:eastAsia="zh-CN"/>
        </w:rPr>
        <w:t>90</w:t>
      </w:r>
      <w:r>
        <w:rPr>
          <w:rFonts w:hint="eastAsia" w:ascii="仿宋_GB2312" w:hAnsi="仿宋_GB2312" w:eastAsia="仿宋_GB2312" w:cs="仿宋_GB2312"/>
          <w:b w:val="0"/>
          <w:bCs w:val="0"/>
          <w:sz w:val="32"/>
          <w:szCs w:val="32"/>
          <w:highlight w:val="none"/>
          <w:u w:val="none"/>
          <w:lang w:val="en-US" w:eastAsia="zh-CN"/>
        </w:rPr>
        <w:t>%以上</w:t>
      </w:r>
      <w:r>
        <w:rPr>
          <w:rFonts w:hint="eastAsia" w:ascii="仿宋_GB2312" w:hAnsi="仿宋_GB2312" w:cs="仿宋_GB2312"/>
          <w:b w:val="0"/>
          <w:bCs w:val="0"/>
          <w:sz w:val="32"/>
          <w:szCs w:val="32"/>
          <w:highlight w:val="none"/>
          <w:u w:val="none"/>
          <w:lang w:val="en-US" w:eastAsia="zh-CN"/>
        </w:rPr>
        <w:t>。</w:t>
      </w:r>
    </w:p>
    <w:p>
      <w:pPr>
        <w:adjustRightInd w:val="0"/>
        <w:snapToGrid w:val="0"/>
        <w:spacing w:line="480" w:lineRule="exact"/>
        <w:ind w:firstLine="643" w:firstLineChars="200"/>
      </w:pPr>
      <w:r>
        <w:rPr>
          <w:rFonts w:hint="eastAsia" w:ascii="仿宋_GB2312" w:hAnsi="Times New Roman" w:cs="Times New Roman"/>
          <w:b/>
          <w:bCs/>
          <w:color w:val="000000"/>
          <w:sz w:val="32"/>
          <w:szCs w:val="32"/>
          <w:highlight w:val="none"/>
          <w:lang w:val="en-US" w:eastAsia="zh-CN"/>
        </w:rPr>
        <w:t>9、</w:t>
      </w:r>
      <w:r>
        <w:rPr>
          <w:rFonts w:hint="eastAsia"/>
        </w:rPr>
        <w:t>城镇居民生活饮用水日常监测项目。</w:t>
      </w:r>
    </w:p>
    <w:p>
      <w:pPr>
        <w:adjustRightInd w:val="0"/>
        <w:snapToGrid w:val="0"/>
        <w:spacing w:line="480" w:lineRule="exact"/>
        <w:ind w:firstLine="640" w:firstLineChars="200"/>
        <w:rPr>
          <w:rFonts w:hint="eastAsia" w:eastAsia="仿宋_GB2312"/>
          <w:lang w:eastAsia="zh-CN"/>
        </w:rPr>
      </w:pPr>
      <w:r>
        <w:rPr>
          <w:rFonts w:hint="eastAsia"/>
        </w:rPr>
        <w:t>（1）项目概况：开展全市水质每日监测工作，建设足以支持我市生活饮用水日常监测工作的采样、检测能力</w:t>
      </w:r>
      <w:r>
        <w:rPr>
          <w:rFonts w:hint="eastAsia"/>
          <w:lang w:eastAsia="zh-CN"/>
        </w:rPr>
        <w:t>。</w:t>
      </w:r>
    </w:p>
    <w:p>
      <w:pPr>
        <w:adjustRightInd w:val="0"/>
        <w:snapToGrid w:val="0"/>
        <w:spacing w:line="480" w:lineRule="exact"/>
        <w:ind w:firstLine="640" w:firstLineChars="200"/>
        <w:rPr>
          <w:rFonts w:hint="eastAsia" w:eastAsia="仿宋_GB2312"/>
          <w:lang w:eastAsia="zh-CN"/>
        </w:rPr>
      </w:pPr>
      <w:r>
        <w:rPr>
          <w:rFonts w:hint="eastAsia"/>
        </w:rPr>
        <w:t>（2）项目内容：用于黄石市疾病预防控制中心开展全市水质每日监测工作，建设足以支持我市生活饮用水日常监测工作的采样、检测能力</w:t>
      </w:r>
      <w:r>
        <w:rPr>
          <w:rFonts w:hint="eastAsia"/>
          <w:lang w:eastAsia="zh-CN"/>
        </w:rPr>
        <w:t>。</w:t>
      </w:r>
    </w:p>
    <w:p>
      <w:pPr>
        <w:adjustRightInd w:val="0"/>
        <w:snapToGrid w:val="0"/>
        <w:spacing w:line="480" w:lineRule="exact"/>
        <w:ind w:firstLine="640" w:firstLineChars="200"/>
      </w:pPr>
      <w:r>
        <w:rPr>
          <w:rFonts w:hint="eastAsia"/>
        </w:rPr>
        <w:t>（3）立项依据：自2015年湖北省人大通过了《湖北省城镇供水条例》后，我市已开展城镇供水日监测工作，近五年来，国家、湖北省、黄石市分别下发了《关于印发湖北省污染防治攻坚战工作细化方案及2018年重点工作路线图的通知》、《关于印发坚决打好污染防治攻坚战全面加强环境与健康工作行动方案的通知》、《关于印发〈黄石市2018年水污染防治行动计划〉〈黄石市饮用水水源地保护工作实施方案〉〈2018-2020年黄石市生态文明建设（绿色发展）省级和市级考核评价目标（环保12项）任务分解〉的通知》（黄政发〔2018〕25号）、《2019年黄石市生活饮用水监测实施方案》、《关于进一步加强城镇供水水质监测信息日发布工作的通知》等文件，要求市卫健部门继续做好每日监测发布的基础上，做好从饮用水水源、供水厂出水和用户水龙头水质的的监测工作。</w:t>
      </w:r>
    </w:p>
    <w:p>
      <w:pPr>
        <w:adjustRightInd w:val="0"/>
        <w:snapToGrid w:val="0"/>
        <w:spacing w:line="480" w:lineRule="exact"/>
        <w:ind w:firstLine="640" w:firstLineChars="200"/>
      </w:pPr>
      <w:r>
        <w:rPr>
          <w:rFonts w:hint="eastAsia"/>
        </w:rPr>
        <w:t>（4）实施单位：黄石市疾病预防控制中心</w:t>
      </w:r>
    </w:p>
    <w:p>
      <w:pPr>
        <w:adjustRightInd w:val="0"/>
        <w:snapToGrid w:val="0"/>
        <w:spacing w:line="480" w:lineRule="exact"/>
        <w:ind w:firstLine="640" w:firstLineChars="200"/>
      </w:pPr>
      <w:r>
        <w:rPr>
          <w:rFonts w:hint="eastAsia"/>
        </w:rPr>
        <w:t>（5）项目期：2</w:t>
      </w:r>
      <w:r>
        <w:t>024</w:t>
      </w:r>
      <w:r>
        <w:rPr>
          <w:rFonts w:hint="eastAsia"/>
        </w:rPr>
        <w:t>年1</w:t>
      </w:r>
      <w:r>
        <w:rPr>
          <w:rFonts w:hint="eastAsia"/>
          <w:lang w:eastAsia="zh-CN"/>
        </w:rPr>
        <w:t>月</w:t>
      </w:r>
      <w:r>
        <w:t>-12</w:t>
      </w:r>
      <w:r>
        <w:rPr>
          <w:rFonts w:hint="eastAsia"/>
        </w:rPr>
        <w:t>月</w:t>
      </w:r>
    </w:p>
    <w:p>
      <w:pPr>
        <w:adjustRightInd w:val="0"/>
        <w:snapToGrid w:val="0"/>
        <w:spacing w:line="480" w:lineRule="exact"/>
        <w:ind w:firstLine="640" w:firstLineChars="200"/>
      </w:pPr>
      <w:r>
        <w:rPr>
          <w:rFonts w:hint="eastAsia"/>
        </w:rPr>
        <w:t>（6）年度预算安排：</w:t>
      </w:r>
      <w:r>
        <w:rPr>
          <w:rFonts w:hint="eastAsia" w:ascii="黑体" w:hAnsi="黑体" w:eastAsia="黑体" w:cs="黑体"/>
          <w:szCs w:val="32"/>
        </w:rPr>
        <w:t>2</w:t>
      </w:r>
      <w:r>
        <w:rPr>
          <w:rFonts w:ascii="黑体" w:hAnsi="黑体" w:eastAsia="黑体" w:cs="黑体"/>
          <w:szCs w:val="32"/>
        </w:rPr>
        <w:t>024</w:t>
      </w:r>
      <w:r>
        <w:rPr>
          <w:rFonts w:hint="eastAsia"/>
        </w:rPr>
        <w:t>年预算安排</w:t>
      </w:r>
      <w:r>
        <w:rPr>
          <w:rFonts w:hint="eastAsia" w:ascii="仿宋_GB2312"/>
          <w:bCs/>
          <w:kern w:val="44"/>
          <w:szCs w:val="32"/>
          <w:u w:val="single"/>
        </w:rPr>
        <w:t xml:space="preserve"> </w:t>
      </w:r>
      <w:r>
        <w:rPr>
          <w:rFonts w:ascii="仿宋_GB2312"/>
          <w:bCs/>
          <w:kern w:val="44"/>
          <w:szCs w:val="32"/>
          <w:u w:val="single"/>
        </w:rPr>
        <w:t>140</w:t>
      </w:r>
      <w:r>
        <w:rPr>
          <w:rFonts w:hint="eastAsia" w:ascii="仿宋_GB2312"/>
          <w:bCs/>
          <w:kern w:val="44"/>
          <w:szCs w:val="32"/>
          <w:u w:val="single"/>
        </w:rPr>
        <w:t xml:space="preserve"> </w:t>
      </w:r>
      <w:r>
        <w:rPr>
          <w:rFonts w:hint="eastAsia"/>
        </w:rPr>
        <w:t xml:space="preserve"> 万元，比上年增长0</w:t>
      </w:r>
      <w:r>
        <w:rPr>
          <w:rFonts w:hint="eastAsia" w:ascii="仿宋_GB2312"/>
          <w:bCs/>
          <w:kern w:val="44"/>
          <w:szCs w:val="32"/>
          <w:u w:val="single"/>
        </w:rPr>
        <w:t xml:space="preserve">    </w:t>
      </w:r>
      <w:r>
        <w:rPr>
          <w:rFonts w:hint="eastAsia"/>
        </w:rPr>
        <w:t>万元，</w:t>
      </w:r>
      <w:r>
        <w:rPr>
          <w:rFonts w:hint="eastAsia" w:ascii="仿宋_GB2312"/>
          <w:bCs/>
          <w:kern w:val="44"/>
          <w:szCs w:val="32"/>
        </w:rPr>
        <w:t>增长</w:t>
      </w:r>
      <w:r>
        <w:rPr>
          <w:rFonts w:hint="eastAsia" w:ascii="仿宋_GB2312"/>
          <w:bCs/>
          <w:kern w:val="44"/>
          <w:szCs w:val="32"/>
          <w:u w:val="single"/>
        </w:rPr>
        <w:t xml:space="preserve">   </w:t>
      </w:r>
      <w:r>
        <w:rPr>
          <w:rFonts w:ascii="仿宋_GB2312"/>
          <w:bCs/>
          <w:kern w:val="44"/>
          <w:szCs w:val="32"/>
          <w:u w:val="single"/>
        </w:rPr>
        <w:t>0</w:t>
      </w:r>
      <w:r>
        <w:rPr>
          <w:rFonts w:hint="eastAsia" w:ascii="仿宋_GB2312"/>
          <w:bCs/>
          <w:kern w:val="44"/>
          <w:szCs w:val="32"/>
          <w:u w:val="single"/>
        </w:rPr>
        <w:t xml:space="preserve">   </w:t>
      </w:r>
      <w:r>
        <w:rPr>
          <w:rFonts w:hint="eastAsia" w:ascii="仿宋_GB2312"/>
          <w:bCs/>
          <w:kern w:val="44"/>
          <w:szCs w:val="32"/>
        </w:rPr>
        <w:t>%</w:t>
      </w:r>
      <w:r>
        <w:rPr>
          <w:rFonts w:hint="eastAsia"/>
        </w:rPr>
        <w:t xml:space="preserve">。其中，     </w:t>
      </w:r>
    </w:p>
    <w:p>
      <w:pPr>
        <w:adjustRightInd w:val="0"/>
        <w:snapToGrid w:val="0"/>
        <w:spacing w:line="480" w:lineRule="exact"/>
      </w:pPr>
      <w:r>
        <w:rPr>
          <w:rFonts w:hint="eastAsia" w:ascii="仿宋_GB2312"/>
          <w:bCs/>
          <w:kern w:val="44"/>
          <w:szCs w:val="32"/>
          <w:u w:val="single"/>
        </w:rPr>
        <w:t xml:space="preserve">  </w:t>
      </w:r>
      <w:r>
        <w:rPr>
          <w:rFonts w:ascii="仿宋_GB2312"/>
          <w:bCs/>
          <w:kern w:val="44"/>
          <w:szCs w:val="32"/>
          <w:u w:val="single"/>
        </w:rPr>
        <w:t>140</w:t>
      </w:r>
      <w:r>
        <w:rPr>
          <w:rFonts w:hint="eastAsia" w:ascii="仿宋_GB2312"/>
          <w:bCs/>
          <w:kern w:val="44"/>
          <w:szCs w:val="32"/>
          <w:u w:val="single"/>
        </w:rPr>
        <w:t xml:space="preserve"> </w:t>
      </w:r>
      <w:r>
        <w:rPr>
          <w:rFonts w:hint="eastAsia"/>
        </w:rPr>
        <w:t>万元资金来源为当年一般公共预算财政拨款，</w:t>
      </w:r>
      <w:r>
        <w:rPr>
          <w:rFonts w:hint="eastAsia" w:ascii="仿宋_GB2312"/>
          <w:bCs/>
          <w:kern w:val="44"/>
          <w:szCs w:val="32"/>
          <w:u w:val="single"/>
        </w:rPr>
        <w:t xml:space="preserve">  </w:t>
      </w:r>
      <w:r>
        <w:rPr>
          <w:rFonts w:ascii="仿宋_GB2312"/>
          <w:bCs/>
          <w:kern w:val="44"/>
          <w:szCs w:val="32"/>
          <w:u w:val="single"/>
        </w:rPr>
        <w:t>0</w:t>
      </w:r>
      <w:r>
        <w:rPr>
          <w:rFonts w:hint="eastAsia" w:ascii="仿宋_GB2312"/>
          <w:bCs/>
          <w:kern w:val="44"/>
          <w:szCs w:val="32"/>
          <w:u w:val="single"/>
        </w:rPr>
        <w:t xml:space="preserve"> </w:t>
      </w:r>
      <w:r>
        <w:rPr>
          <w:rFonts w:hint="eastAsia"/>
        </w:rPr>
        <w:t>万元资金来源为单位资金。</w:t>
      </w:r>
    </w:p>
    <w:p>
      <w:pPr>
        <w:adjustRightInd w:val="0"/>
        <w:snapToGrid w:val="0"/>
        <w:spacing w:line="480" w:lineRule="exact"/>
        <w:ind w:firstLine="640" w:firstLineChars="200"/>
      </w:pPr>
      <w:r>
        <w:rPr>
          <w:rFonts w:hint="eastAsia"/>
        </w:rPr>
        <w:t>（7）</w:t>
      </w:r>
      <w:r>
        <w:rPr>
          <w:rFonts w:hint="eastAsia" w:ascii="黑体" w:hAnsi="黑体" w:eastAsia="黑体" w:cs="黑体"/>
          <w:szCs w:val="32"/>
        </w:rPr>
        <w:t>20</w:t>
      </w:r>
      <w:r>
        <w:rPr>
          <w:rFonts w:ascii="黑体" w:hAnsi="黑体" w:eastAsia="黑体" w:cs="黑体"/>
          <w:szCs w:val="32"/>
        </w:rPr>
        <w:t>24</w:t>
      </w:r>
      <w:r>
        <w:rPr>
          <w:rFonts w:hint="eastAsia"/>
        </w:rPr>
        <w:t xml:space="preserve">年度项目绩效总目标是：完成2024年全年每日水质监测工作，排除因维修、保管等无法采样情况后，全年完成日监测水样1800份。 </w:t>
      </w:r>
    </w:p>
    <w:p>
      <w:pPr>
        <w:adjustRightInd w:val="0"/>
        <w:snapToGrid w:val="0"/>
        <w:spacing w:line="480" w:lineRule="exact"/>
        <w:ind w:firstLine="640" w:firstLineChars="200"/>
      </w:pPr>
      <w:r>
        <w:rPr>
          <w:rFonts w:hint="eastAsia"/>
        </w:rPr>
        <w:t>产出指标：完成日监测水样1</w:t>
      </w:r>
      <w:r>
        <w:t>800</w:t>
      </w:r>
      <w:r>
        <w:rPr>
          <w:rFonts w:hint="eastAsia"/>
        </w:rPr>
        <w:t>份；水质检测完成率1</w:t>
      </w:r>
      <w:r>
        <w:t>00%</w:t>
      </w:r>
      <w:r>
        <w:rPr>
          <w:rFonts w:hint="eastAsia"/>
        </w:rPr>
        <w:t>；按时完成水质检测及报告；。</w:t>
      </w:r>
    </w:p>
    <w:p>
      <w:pPr>
        <w:adjustRightInd w:val="0"/>
        <w:snapToGrid w:val="0"/>
        <w:spacing w:line="480" w:lineRule="exact"/>
        <w:ind w:firstLine="640" w:firstLineChars="200"/>
      </w:pPr>
      <w:r>
        <w:rPr>
          <w:rFonts w:hint="eastAsia"/>
        </w:rPr>
        <w:t>效益指标：及时发现饮用水安全隐患，进行风险预警；为防控饮用水卫生安全事故发生提供基础数据等。</w:t>
      </w:r>
    </w:p>
    <w:p>
      <w:pPr>
        <w:keepNext w:val="0"/>
        <w:keepLines w:val="0"/>
        <w:pageBreakBefore w:val="0"/>
        <w:widowControl w:val="0"/>
        <w:numPr>
          <w:ilvl w:val="0"/>
          <w:numId w:val="0"/>
        </w:numPr>
        <w:kinsoku/>
        <w:wordWrap/>
        <w:overflowPunct/>
        <w:topLinePunct w:val="0"/>
        <w:autoSpaceDE/>
        <w:autoSpaceDN/>
        <w:bidi w:val="0"/>
        <w:spacing w:line="480" w:lineRule="exact"/>
        <w:ind w:right="0" w:rightChars="0" w:firstLine="640" w:firstLineChars="200"/>
        <w:jc w:val="both"/>
        <w:textAlignment w:val="auto"/>
        <w:outlineLvl w:val="9"/>
        <w:rPr>
          <w:rFonts w:hint="eastAsia"/>
        </w:rPr>
      </w:pPr>
      <w:r>
        <w:rPr>
          <w:rFonts w:hint="eastAsia"/>
        </w:rPr>
        <w:t>满意度指标：为我市生活饮用水卫生保障提供监测依据。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outlineLvl w:val="9"/>
        <w:rPr>
          <w:rFonts w:hint="eastAsia" w:ascii="仿宋" w:hAnsi="仿宋" w:eastAsia="仿宋" w:cs="仿宋"/>
          <w:sz w:val="32"/>
          <w:szCs w:val="32"/>
          <w:u w:val="none"/>
          <w:lang w:val="en-US" w:eastAsia="zh-CN"/>
        </w:rPr>
      </w:pPr>
      <w:r>
        <w:rPr>
          <w:rFonts w:hint="eastAsia" w:ascii="仿宋_GB2312" w:hAnsi="Times New Roman" w:cs="Times New Roman"/>
          <w:b/>
          <w:bCs/>
          <w:color w:val="000000"/>
          <w:sz w:val="32"/>
          <w:szCs w:val="32"/>
          <w:highlight w:val="none"/>
          <w:lang w:val="en-US" w:eastAsia="zh-CN"/>
        </w:rPr>
        <w:t>10、</w:t>
      </w:r>
      <w:r>
        <w:rPr>
          <w:rFonts w:hint="eastAsia" w:ascii="仿宋" w:hAnsi="仿宋" w:eastAsia="仿宋" w:cs="仿宋"/>
          <w:sz w:val="32"/>
          <w:szCs w:val="32"/>
          <w:u w:val="none"/>
          <w:lang w:val="en-US" w:eastAsia="zh-CN"/>
        </w:rPr>
        <w:t>结核病防治专项项目。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（1）项目概况：全市结核病人的发现、诊断、报告、登记、治疗和管理,负责全市结核病防治业务技术指导</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（2）项目内容：主要用于1、疑似肺结核病人免费检查 2、疫情追踪 3、涂阳肺结核密切接触者检查 4、肺结核患者随访检查 5、诊疗管理质量考核与评价 6、疫情信息监测与评价 7、耐药结核防治 8、实验室质量控制 9、患者的治疗 10、确诊患者复查 11、健康教育 12、新生入学体检 13、信息化建设</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（3）立项依据：1、鄂疾控发[2023]21号省疾控中心关于印发《湖北省2023年结核病防治工作计划》的通知。</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640" w:firstLineChars="200"/>
        <w:jc w:val="both"/>
        <w:textAlignment w:val="auto"/>
        <w:outlineLvl w:val="9"/>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（4）实施单位：黄石市公共卫生医疗救治中心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（5）项目期：2024年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（6）年度预算安排：2024年预算安排</w:t>
      </w:r>
      <w:r>
        <w:rPr>
          <w:rFonts w:hint="eastAsia" w:ascii="仿宋" w:hAnsi="仿宋" w:eastAsia="仿宋" w:cs="仿宋"/>
          <w:bCs/>
          <w:kern w:val="44"/>
          <w:sz w:val="32"/>
          <w:szCs w:val="32"/>
          <w:highlight w:val="none"/>
          <w:u w:val="none"/>
          <w:lang w:val="en-US" w:eastAsia="zh-CN"/>
        </w:rPr>
        <w:t>33</w:t>
      </w:r>
      <w:r>
        <w:rPr>
          <w:rFonts w:hint="eastAsia" w:ascii="仿宋" w:hAnsi="仿宋" w:eastAsia="仿宋" w:cs="仿宋"/>
          <w:sz w:val="32"/>
          <w:szCs w:val="32"/>
          <w:u w:val="none"/>
          <w:lang w:val="en-US" w:eastAsia="zh-CN"/>
        </w:rPr>
        <w:t>万元，比上年</w:t>
      </w:r>
      <w:r>
        <w:rPr>
          <w:rFonts w:hint="eastAsia" w:ascii="仿宋" w:hAnsi="仿宋" w:eastAsia="仿宋" w:cs="仿宋"/>
          <w:bCs/>
          <w:kern w:val="44"/>
          <w:sz w:val="32"/>
          <w:szCs w:val="32"/>
          <w:highlight w:val="none"/>
          <w:u w:val="none"/>
          <w:lang w:val="en-US" w:eastAsia="zh-CN"/>
        </w:rPr>
        <w:t>预算持平</w:t>
      </w:r>
      <w:r>
        <w:rPr>
          <w:rFonts w:hint="eastAsia" w:ascii="仿宋" w:hAnsi="仿宋" w:eastAsia="仿宋" w:cs="仿宋"/>
          <w:sz w:val="32"/>
          <w:szCs w:val="32"/>
          <w:u w:val="none"/>
          <w:lang w:val="en-US" w:eastAsia="zh-CN"/>
        </w:rPr>
        <w:t>。其中，</w:t>
      </w:r>
      <w:r>
        <w:rPr>
          <w:rFonts w:hint="eastAsia" w:ascii="仿宋" w:hAnsi="仿宋" w:eastAsia="仿宋" w:cs="仿宋"/>
          <w:bCs/>
          <w:kern w:val="44"/>
          <w:sz w:val="32"/>
          <w:szCs w:val="32"/>
          <w:highlight w:val="none"/>
          <w:u w:val="none"/>
          <w:lang w:val="en-US" w:eastAsia="zh-CN"/>
        </w:rPr>
        <w:t>33</w:t>
      </w:r>
      <w:r>
        <w:rPr>
          <w:rFonts w:hint="eastAsia" w:ascii="仿宋" w:hAnsi="仿宋" w:eastAsia="仿宋" w:cs="仿宋"/>
          <w:sz w:val="32"/>
          <w:szCs w:val="32"/>
          <w:u w:val="none"/>
          <w:lang w:val="en-US" w:eastAsia="zh-CN"/>
        </w:rPr>
        <w:t>万元资金来源为当年一般公共预算财政拨款。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（7）2024年度项目绩效总目标是：完成任务指标为免费筛查疑似肺结核患者7720人次，发现活动性肺结核病人1252例。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产出指标：1、全市登记和免费检查疑似肺结核患者任务数7720例；2、全市发现和治疗活动性肺结核患者1252例；3、活动性肺结核病患者治疗成功率达到90%以上，初治涂阳结核病患者治愈率达到85%以上；4、报告肺结核患者和疑似肺结核患者的总体到位率达到95%以上；5、跨区域流动的肺结核患者信息反馈率达到90%，流动人口肺结核患者的治疗管理率达到80%；6、菌阳肺结核患者密切接触者筛查率达到95%;7、艾滋病病毒感染者结核病的筛查率达到90%；8、耐多药可疑者耐药检测筛查率达到95%；9、开展耐多药病人诊治工作覆盖率达到100%以上；10、新确诊的痰阴肺结核病患者痰培养率达到80%以上；11、复治涂阳患者痰培养率达到90%以上；12、初诊疑似患者痰涂片检查率达到90%以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效益指标：1、3.24世界防治结核病日开展全市大型宣传活动，日常在宣传媒体、综合医疗机构、基层医疗机构、公共场所开展常规宣传；2、开展学校、监狱劳教系统等重点场所结核病防治工作，进行入学体检、入监体检和日常常规监测工作；3、对老年人、糖尿病患者和矿工作业者等结核病高危人群实施主动筛查，在全市结核病预防、治疗、控制、管理及防治规划的实施过程中起着举足轻重的作用。</w:t>
      </w:r>
    </w:p>
    <w:p>
      <w:pPr>
        <w:adjustRightInd w:val="0"/>
        <w:snapToGrid w:val="0"/>
        <w:spacing w:line="580" w:lineRule="atLeast"/>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满意度指标：门诊和住院患者满意度95以上。</w:t>
      </w:r>
    </w:p>
    <w:p>
      <w:pPr>
        <w:adjustRightInd w:val="0"/>
        <w:snapToGrid w:val="0"/>
        <w:spacing w:line="580" w:lineRule="atLeast"/>
        <w:ind w:firstLine="643" w:firstLineChars="200"/>
        <w:rPr>
          <w:rFonts w:hint="eastAsia" w:ascii="仿宋_GB2312" w:eastAsia="仿宋_GB2312"/>
          <w:bCs/>
          <w:color w:val="auto"/>
          <w:kern w:val="44"/>
          <w:sz w:val="32"/>
          <w:szCs w:val="32"/>
          <w:highlight w:val="none"/>
          <w:u w:val="none"/>
          <w:lang w:val="en-US" w:eastAsia="zh-CN"/>
        </w:rPr>
      </w:pPr>
      <w:r>
        <w:rPr>
          <w:rFonts w:hint="eastAsia" w:ascii="仿宋" w:hAnsi="仿宋" w:eastAsia="仿宋" w:cs="仿宋"/>
          <w:b/>
          <w:bCs/>
          <w:sz w:val="32"/>
          <w:szCs w:val="32"/>
          <w:u w:val="none"/>
          <w:lang w:val="en-US" w:eastAsia="zh-CN"/>
        </w:rPr>
        <w:t>11、</w:t>
      </w:r>
      <w:r>
        <w:rPr>
          <w:rFonts w:hint="eastAsia" w:ascii="仿宋_GB2312" w:eastAsia="仿宋_GB2312"/>
          <w:bCs/>
          <w:color w:val="auto"/>
          <w:kern w:val="44"/>
          <w:sz w:val="32"/>
          <w:szCs w:val="32"/>
          <w:highlight w:val="none"/>
          <w:u w:val="none"/>
          <w:lang w:val="en-US" w:eastAsia="zh-CN"/>
        </w:rPr>
        <w:t>卫生督导专项项目。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（1）项目概况：2020年年初预算32万元，实际支出32万元，完成年初预算率100%。2022年初预算40万元。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项目内容：主要依照《传染病防治法》、《职业病防治法》等卫生法律、法规的规定履行卫生监督职责。履行卫生监督行政审批职能，保障医疗卫生、职业卫生、传染病防治、饮用水、公共场所卫生等各项卫生监督重点工作正常开展，以及深入推进我市创建全国文明城市等工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（3）立项依据：《传染病防治法》、《职业病防治法》等卫生法律、法规。</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（4）实施单位：黄石市卫生健康委员会综合监督执法局</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（5）项目期：2024年度。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（6）年度预算安排：2024年预算安排40万元，比上年增长0万元，增长0%。其中，40万元资金来源全部为当年一般公共预算财政拨款。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（7）2024年度项目绩效总目标是：保障医疗卫生、职业卫生、传染病防治、饮用水、公共场所卫生等各项卫生监督重点工作正常开展。</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产出指标：医疗卫生机构监督覆盖率100%，传染病防治监督覆盖率100%，公共场所监督覆盖率100%。</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Times New Roman" w:hAnsi="Times New Roman"/>
          <w:color w:val="auto"/>
        </w:rPr>
      </w:pPr>
      <w:r>
        <w:rPr>
          <w:rFonts w:hint="eastAsia" w:ascii="仿宋" w:hAnsi="仿宋" w:eastAsia="仿宋" w:cs="仿宋"/>
          <w:b/>
          <w:bCs/>
          <w:sz w:val="32"/>
          <w:szCs w:val="32"/>
          <w:u w:val="none"/>
          <w:lang w:val="en-US" w:eastAsia="zh-CN"/>
        </w:rPr>
        <w:t>12、</w:t>
      </w:r>
      <w:r>
        <w:rPr>
          <w:rFonts w:hint="eastAsia" w:ascii="Times New Roman" w:hAnsi="Times New Roman"/>
          <w:color w:val="auto"/>
          <w:sz w:val="30"/>
          <w:szCs w:val="30"/>
        </w:rPr>
        <w:t>市级财政血液核酸检测专项经费</w:t>
      </w:r>
      <w:r>
        <w:rPr>
          <w:rFonts w:hint="eastAsia" w:ascii="Times New Roman" w:hAnsi="Times New Roman"/>
          <w:color w:val="auto"/>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（1）项目概况：国家卫计委要求在全国血站开展血液核酸检测，该项目开展可提高血液安全，防止艾滋病等疾病通过输血传播。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（2）项目内容：开展血液核酸检测每年需使用试剂及耗材资金约25万元。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（3）立项依据：鄂卫生计生办通【2013】47号文件。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（4）实施单位：黄石市中心血站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（5）项目期：</w:t>
      </w:r>
      <w:r>
        <w:rPr>
          <w:rFonts w:hint="eastAsia" w:ascii="Times New Roman" w:hAnsi="Times New Roman"/>
          <w:color w:val="auto"/>
          <w:lang w:eastAsia="zh-CN"/>
        </w:rPr>
        <w:t>202</w:t>
      </w:r>
      <w:r>
        <w:rPr>
          <w:rFonts w:hint="eastAsia"/>
          <w:color w:val="auto"/>
          <w:lang w:val="en-US" w:eastAsia="zh-CN"/>
        </w:rPr>
        <w:t>4</w:t>
      </w:r>
      <w:r>
        <w:rPr>
          <w:rFonts w:hint="eastAsia" w:ascii="Times New Roman" w:hAnsi="Times New Roman"/>
          <w:color w:val="auto"/>
        </w:rPr>
        <w:t>年1月1日-</w:t>
      </w:r>
      <w:r>
        <w:rPr>
          <w:rFonts w:hint="eastAsia" w:ascii="Times New Roman" w:hAnsi="Times New Roman"/>
          <w:color w:val="auto"/>
          <w:lang w:eastAsia="zh-CN"/>
        </w:rPr>
        <w:t>202</w:t>
      </w:r>
      <w:r>
        <w:rPr>
          <w:rFonts w:hint="eastAsia"/>
          <w:color w:val="auto"/>
          <w:lang w:val="en-US" w:eastAsia="zh-CN"/>
        </w:rPr>
        <w:t>4</w:t>
      </w:r>
      <w:r>
        <w:rPr>
          <w:rFonts w:hint="eastAsia" w:ascii="Times New Roman" w:hAnsi="Times New Roman"/>
          <w:color w:val="auto"/>
        </w:rPr>
        <w:t>年12月31日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trike/>
          <w:color w:val="auto"/>
        </w:rPr>
      </w:pPr>
      <w:r>
        <w:rPr>
          <w:rFonts w:hint="eastAsia" w:ascii="Times New Roman" w:hAnsi="Times New Roman"/>
          <w:color w:val="auto"/>
        </w:rPr>
        <w:t>（6）年度预算安排：</w:t>
      </w:r>
      <w:r>
        <w:rPr>
          <w:rFonts w:hint="eastAsia" w:ascii="Times New Roman" w:hAnsi="Times New Roman"/>
          <w:color w:val="auto"/>
          <w:lang w:eastAsia="zh-CN"/>
        </w:rPr>
        <w:t>202</w:t>
      </w:r>
      <w:r>
        <w:rPr>
          <w:rFonts w:hint="eastAsia"/>
          <w:color w:val="auto"/>
          <w:lang w:val="en-US" w:eastAsia="zh-CN"/>
        </w:rPr>
        <w:t>4</w:t>
      </w:r>
      <w:r>
        <w:rPr>
          <w:rFonts w:hint="eastAsia" w:ascii="Times New Roman" w:hAnsi="Times New Roman"/>
          <w:color w:val="auto"/>
        </w:rPr>
        <w:t>年预算安排25万元，与上年对比无增减变化，与上年预算持平。其中，</w:t>
      </w:r>
      <w:r>
        <w:rPr>
          <w:rFonts w:hint="eastAsia" w:ascii="Times New Roman" w:hAnsi="Times New Roman"/>
          <w:bCs/>
          <w:color w:val="auto"/>
          <w:kern w:val="44"/>
          <w:szCs w:val="32"/>
        </w:rPr>
        <w:t>25</w:t>
      </w:r>
      <w:r>
        <w:rPr>
          <w:rFonts w:hint="eastAsia" w:ascii="Times New Roman" w:hAnsi="Times New Roman"/>
          <w:color w:val="auto"/>
        </w:rPr>
        <w:t>万元资金来源为当年一般公共预算财政拨款。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（7）</w:t>
      </w:r>
      <w:r>
        <w:rPr>
          <w:rFonts w:hint="eastAsia" w:ascii="Times New Roman" w:hAnsi="Times New Roman"/>
          <w:color w:val="auto"/>
          <w:lang w:eastAsia="zh-CN"/>
        </w:rPr>
        <w:t>202</w:t>
      </w:r>
      <w:r>
        <w:rPr>
          <w:rFonts w:hint="eastAsia"/>
          <w:color w:val="auto"/>
          <w:lang w:val="en-US" w:eastAsia="zh-CN"/>
        </w:rPr>
        <w:t>4</w:t>
      </w:r>
      <w:r>
        <w:rPr>
          <w:rFonts w:hint="eastAsia" w:ascii="Times New Roman" w:hAnsi="Times New Roman"/>
          <w:color w:val="auto"/>
        </w:rPr>
        <w:t>年度项目绩效总目标是：全年核酸检测血液标本</w:t>
      </w:r>
      <w:r>
        <w:rPr>
          <w:rFonts w:hint="eastAsia"/>
          <w:color w:val="auto"/>
          <w:lang w:val="en-US" w:eastAsia="zh-CN"/>
        </w:rPr>
        <w:t>1.7万</w:t>
      </w:r>
      <w:r>
        <w:rPr>
          <w:rFonts w:hint="eastAsia" w:ascii="Times New Roman" w:hAnsi="Times New Roman"/>
          <w:color w:val="auto"/>
        </w:rPr>
        <w:t>人份。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产出指标：</w:t>
      </w:r>
      <w:r>
        <w:rPr>
          <w:rFonts w:hint="eastAsia" w:ascii="Times New Roman" w:hAnsi="Times New Roman" w:eastAsia="微软雅黑" w:cs="微软雅黑"/>
          <w:color w:val="auto"/>
        </w:rPr>
        <w:t>①</w:t>
      </w:r>
      <w:r>
        <w:rPr>
          <w:rFonts w:hint="eastAsia" w:ascii="Times New Roman" w:hAnsi="Times New Roman"/>
          <w:color w:val="auto"/>
        </w:rPr>
        <w:t>数量指标：全年完成血液检测标本1.</w:t>
      </w:r>
      <w:r>
        <w:rPr>
          <w:rFonts w:hint="eastAsia"/>
          <w:color w:val="auto"/>
          <w:lang w:val="en-US" w:eastAsia="zh-CN"/>
        </w:rPr>
        <w:t>7</w:t>
      </w:r>
      <w:r>
        <w:rPr>
          <w:rFonts w:hint="eastAsia" w:ascii="Times New Roman" w:hAnsi="Times New Roman"/>
          <w:color w:val="auto"/>
        </w:rPr>
        <w:t>万人份；</w:t>
      </w:r>
      <w:r>
        <w:rPr>
          <w:rFonts w:hint="eastAsia" w:ascii="Times New Roman" w:hAnsi="Times New Roman" w:eastAsia="微软雅黑" w:cs="微软雅黑"/>
          <w:color w:val="auto"/>
        </w:rPr>
        <w:t>②</w:t>
      </w:r>
      <w:r>
        <w:rPr>
          <w:rFonts w:hint="eastAsia" w:ascii="Times New Roman" w:hAnsi="Times New Roman"/>
          <w:color w:val="auto"/>
        </w:rPr>
        <w:t>质量指标：通过国家及省临检中心实验室室间质评抽样检测；</w:t>
      </w:r>
      <w:r>
        <w:rPr>
          <w:rFonts w:hint="eastAsia" w:ascii="Times New Roman" w:hAnsi="Times New Roman" w:eastAsia="微软雅黑" w:cs="微软雅黑"/>
          <w:color w:val="auto"/>
        </w:rPr>
        <w:t>③</w:t>
      </w:r>
      <w:r>
        <w:rPr>
          <w:rFonts w:hint="eastAsia" w:ascii="Times New Roman" w:hAnsi="Times New Roman"/>
          <w:color w:val="auto"/>
        </w:rPr>
        <w:t>时效指标：全年完成血液核酸检测标本1.</w:t>
      </w:r>
      <w:r>
        <w:rPr>
          <w:rFonts w:hint="eastAsia"/>
          <w:color w:val="auto"/>
          <w:lang w:val="en-US" w:eastAsia="zh-CN"/>
        </w:rPr>
        <w:t>7</w:t>
      </w:r>
      <w:r>
        <w:rPr>
          <w:rFonts w:hint="eastAsia" w:ascii="Times New Roman" w:hAnsi="Times New Roman"/>
          <w:color w:val="auto"/>
        </w:rPr>
        <w:t>万人份；</w:t>
      </w:r>
      <w:r>
        <w:rPr>
          <w:rFonts w:hint="eastAsia" w:ascii="Times New Roman" w:hAnsi="Times New Roman" w:eastAsia="微软雅黑" w:cs="微软雅黑"/>
          <w:color w:val="auto"/>
        </w:rPr>
        <w:t>④</w:t>
      </w:r>
      <w:r>
        <w:rPr>
          <w:rFonts w:hint="eastAsia" w:ascii="Times New Roman" w:hAnsi="Times New Roman"/>
          <w:color w:val="auto"/>
        </w:rPr>
        <w:t>成本指标：血液核酸检测试剂及耗材29.5元/人份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效益指标：</w:t>
      </w:r>
      <w:r>
        <w:rPr>
          <w:rFonts w:hint="eastAsia" w:ascii="Times New Roman" w:hAnsi="Times New Roman" w:eastAsia="微软雅黑" w:cs="微软雅黑"/>
          <w:color w:val="auto"/>
        </w:rPr>
        <w:t>①</w:t>
      </w:r>
      <w:r>
        <w:rPr>
          <w:rFonts w:hint="eastAsia" w:ascii="Times New Roman" w:hAnsi="Times New Roman"/>
          <w:color w:val="auto"/>
        </w:rPr>
        <w:t>经济效益指标：无；</w:t>
      </w:r>
      <w:r>
        <w:rPr>
          <w:rFonts w:hint="eastAsia" w:ascii="Times New Roman" w:hAnsi="Times New Roman" w:eastAsia="微软雅黑" w:cs="微软雅黑"/>
          <w:color w:val="auto"/>
        </w:rPr>
        <w:t>②</w:t>
      </w:r>
      <w:r>
        <w:rPr>
          <w:rFonts w:hint="eastAsia" w:ascii="Times New Roman" w:hAnsi="Times New Roman"/>
          <w:color w:val="auto"/>
        </w:rPr>
        <w:t>社会效益指标：防止艾滋病、乙肝等输血传染病通过输血途径传播，保障临床输血患者安全；</w:t>
      </w:r>
      <w:r>
        <w:rPr>
          <w:rFonts w:hint="eastAsia" w:ascii="Times New Roman" w:hAnsi="Times New Roman" w:eastAsia="微软雅黑" w:cs="微软雅黑"/>
          <w:color w:val="auto"/>
        </w:rPr>
        <w:t>③</w:t>
      </w:r>
      <w:r>
        <w:rPr>
          <w:rFonts w:hint="eastAsia" w:ascii="Times New Roman" w:hAnsi="Times New Roman"/>
          <w:color w:val="auto"/>
        </w:rPr>
        <w:t>可持续影响指标：持续降低通过输血途径传播艾滋病、乙肝等传染疾病的发生。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olor w:val="auto"/>
        </w:rPr>
      </w:pPr>
      <w:r>
        <w:rPr>
          <w:rFonts w:hint="eastAsia" w:ascii="Times New Roman" w:hAnsi="Times New Roman"/>
          <w:color w:val="auto"/>
        </w:rPr>
        <w:t>满意度指标：保障临床输血患者安全，降低因输血途径感染艾滋病等疾病风险。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0" w:firstLineChars="200"/>
        <w:jc w:val="both"/>
        <w:textAlignment w:val="auto"/>
        <w:outlineLvl w:val="9"/>
        <w:rPr>
          <w:rFonts w:hint="eastAsia" w:ascii="仿宋" w:hAnsi="仿宋" w:eastAsia="仿宋" w:cs="仿宋"/>
          <w:sz w:val="32"/>
          <w:szCs w:val="32"/>
          <w:u w:val="none"/>
          <w:lang w:val="en-US" w:eastAsia="zh-CN"/>
        </w:rPr>
      </w:pPr>
    </w:p>
    <w:p>
      <w:pPr>
        <w:adjustRightInd w:val="0"/>
        <w:snapToGrid w:val="0"/>
        <w:spacing w:line="580" w:lineRule="atLeast"/>
        <w:ind w:firstLine="643" w:firstLineChars="200"/>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第九部分  其他需要说明的情况</w:t>
      </w:r>
    </w:p>
    <w:p>
      <w:pPr>
        <w:pStyle w:val="6"/>
        <w:numPr>
          <w:ilvl w:val="0"/>
          <w:numId w:val="0"/>
        </w:numPr>
        <w:ind w:firstLine="64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1、对空表的说明</w:t>
      </w:r>
    </w:p>
    <w:p>
      <w:pPr>
        <w:pStyle w:val="6"/>
        <w:numPr>
          <w:ilvl w:val="0"/>
          <w:numId w:val="0"/>
        </w:numPr>
        <w:ind w:firstLine="640"/>
        <w:rPr>
          <w:rFonts w:hint="eastAsia" w:ascii="仿宋_GB2312" w:hAnsi="仿宋_GB2312" w:cs="仿宋_GB2312"/>
          <w:b w:val="0"/>
          <w:bCs w:val="0"/>
          <w:color w:val="auto"/>
          <w:sz w:val="32"/>
          <w:szCs w:val="32"/>
          <w:highlight w:val="none"/>
          <w:u w:val="none"/>
          <w:lang w:val="en-US" w:eastAsia="zh-CN"/>
        </w:rPr>
      </w:pPr>
      <w:r>
        <w:rPr>
          <w:rFonts w:hint="eastAsia" w:ascii="仿宋_GB2312" w:hAnsi="仿宋_GB2312" w:cs="仿宋_GB2312"/>
          <w:b w:val="0"/>
          <w:bCs w:val="0"/>
          <w:color w:val="auto"/>
          <w:sz w:val="32"/>
          <w:szCs w:val="32"/>
          <w:highlight w:val="none"/>
          <w:u w:val="none"/>
          <w:lang w:val="en-US" w:eastAsia="zh-CN"/>
        </w:rPr>
        <w:t>2023年本部门预算中没有使用政</w:t>
      </w:r>
      <w:r>
        <w:rPr>
          <w:rFonts w:hint="eastAsia" w:ascii="仿宋_GB2312" w:eastAsia="仿宋_GB2312"/>
          <w:b w:val="0"/>
          <w:bCs w:val="0"/>
          <w:color w:val="auto"/>
          <w:sz w:val="32"/>
          <w:szCs w:val="32"/>
          <w:highlight w:val="none"/>
          <w:u w:val="none"/>
          <w:lang w:val="en-US" w:eastAsia="zh-CN"/>
        </w:rPr>
        <w:t>府性基金预算</w:t>
      </w:r>
      <w:r>
        <w:rPr>
          <w:rFonts w:hint="eastAsia" w:ascii="仿宋_GB2312"/>
          <w:b w:val="0"/>
          <w:bCs w:val="0"/>
          <w:color w:val="auto"/>
          <w:sz w:val="32"/>
          <w:szCs w:val="32"/>
          <w:highlight w:val="none"/>
          <w:u w:val="none"/>
          <w:lang w:val="en-US" w:eastAsia="zh-CN"/>
        </w:rPr>
        <w:t>拨款安排的支出</w:t>
      </w:r>
      <w:r>
        <w:rPr>
          <w:rFonts w:hint="eastAsia" w:ascii="仿宋_GB2312" w:eastAsia="仿宋_GB2312"/>
          <w:b w:val="0"/>
          <w:bCs w:val="0"/>
          <w:color w:val="auto"/>
          <w:sz w:val="32"/>
          <w:szCs w:val="32"/>
          <w:highlight w:val="none"/>
          <w:u w:val="none"/>
          <w:lang w:val="en-US" w:eastAsia="zh-CN"/>
        </w:rPr>
        <w:t>，</w:t>
      </w:r>
      <w:r>
        <w:rPr>
          <w:rFonts w:hint="eastAsia" w:ascii="仿宋_GB2312"/>
          <w:b w:val="0"/>
          <w:bCs w:val="0"/>
          <w:color w:val="auto"/>
          <w:sz w:val="32"/>
          <w:szCs w:val="32"/>
          <w:highlight w:val="none"/>
          <w:u w:val="none"/>
          <w:lang w:val="en-US" w:eastAsia="zh-CN"/>
        </w:rPr>
        <w:t>故</w:t>
      </w:r>
      <w:r>
        <w:rPr>
          <w:rFonts w:hint="eastAsia" w:ascii="仿宋_GB2312" w:hAnsi="仿宋_GB2312" w:cs="仿宋_GB2312"/>
          <w:b w:val="0"/>
          <w:bCs w:val="0"/>
          <w:color w:val="auto"/>
          <w:sz w:val="32"/>
          <w:szCs w:val="32"/>
          <w:u w:val="none"/>
          <w:lang w:val="en-US" w:eastAsia="zh-CN"/>
        </w:rPr>
        <w:t>政府性基金预算支出表</w:t>
      </w:r>
      <w:r>
        <w:rPr>
          <w:rFonts w:hint="eastAsia" w:ascii="仿宋_GB2312"/>
          <w:b w:val="0"/>
          <w:bCs w:val="0"/>
          <w:color w:val="auto"/>
          <w:sz w:val="32"/>
          <w:szCs w:val="32"/>
          <w:highlight w:val="none"/>
          <w:u w:val="none"/>
          <w:lang w:val="en-US" w:eastAsia="zh-CN"/>
        </w:rPr>
        <w:t>无数据，</w:t>
      </w:r>
      <w:r>
        <w:rPr>
          <w:rFonts w:hint="eastAsia" w:ascii="仿宋_GB2312" w:hAnsi="仿宋_GB2312" w:cs="仿宋_GB2312"/>
          <w:b w:val="0"/>
          <w:bCs w:val="0"/>
          <w:color w:val="auto"/>
          <w:sz w:val="32"/>
          <w:szCs w:val="32"/>
          <w:highlight w:val="none"/>
          <w:u w:val="none"/>
          <w:lang w:val="en-US" w:eastAsia="zh-CN"/>
        </w:rPr>
        <w:t>与上年一致；</w:t>
      </w:r>
    </w:p>
    <w:p>
      <w:pPr>
        <w:pStyle w:val="6"/>
        <w:numPr>
          <w:ilvl w:val="0"/>
          <w:numId w:val="0"/>
        </w:numPr>
        <w:ind w:firstLine="640"/>
        <w:rPr>
          <w:rFonts w:hint="default" w:ascii="楷体_GB2312" w:hAnsi="楷体_GB2312" w:eastAsia="楷体_GB2312" w:cs="楷体_GB2312"/>
          <w:kern w:val="2"/>
          <w:sz w:val="32"/>
          <w:szCs w:val="32"/>
          <w:highlight w:val="none"/>
          <w:lang w:val="en-US" w:eastAsia="zh-CN" w:bidi="ar-SA"/>
        </w:rPr>
      </w:pPr>
      <w:r>
        <w:rPr>
          <w:rFonts w:hint="eastAsia" w:ascii="仿宋_GB2312" w:hAnsi="仿宋_GB2312" w:cs="仿宋_GB2312"/>
          <w:b w:val="0"/>
          <w:bCs w:val="0"/>
          <w:color w:val="auto"/>
          <w:sz w:val="32"/>
          <w:szCs w:val="32"/>
          <w:highlight w:val="none"/>
          <w:u w:val="none"/>
          <w:lang w:val="en-US" w:eastAsia="zh-CN"/>
        </w:rPr>
        <w:t>2023年本部门预算中没有使用国有资本经营预算拨款</w:t>
      </w:r>
      <w:r>
        <w:rPr>
          <w:rFonts w:hint="eastAsia" w:ascii="仿宋_GB2312"/>
          <w:b w:val="0"/>
          <w:bCs w:val="0"/>
          <w:color w:val="auto"/>
          <w:sz w:val="32"/>
          <w:szCs w:val="32"/>
          <w:highlight w:val="none"/>
          <w:u w:val="none"/>
          <w:lang w:val="en-US" w:eastAsia="zh-CN"/>
        </w:rPr>
        <w:t>安排的支出</w:t>
      </w:r>
      <w:r>
        <w:rPr>
          <w:rFonts w:hint="eastAsia" w:ascii="仿宋_GB2312" w:eastAsia="仿宋_GB2312"/>
          <w:b w:val="0"/>
          <w:bCs w:val="0"/>
          <w:color w:val="auto"/>
          <w:sz w:val="32"/>
          <w:szCs w:val="32"/>
          <w:highlight w:val="none"/>
          <w:u w:val="none"/>
          <w:lang w:val="en-US" w:eastAsia="zh-CN"/>
        </w:rPr>
        <w:t>，</w:t>
      </w:r>
      <w:r>
        <w:rPr>
          <w:rFonts w:hint="eastAsia" w:ascii="仿宋_GB2312"/>
          <w:b w:val="0"/>
          <w:bCs w:val="0"/>
          <w:color w:val="auto"/>
          <w:sz w:val="32"/>
          <w:szCs w:val="32"/>
          <w:highlight w:val="none"/>
          <w:u w:val="none"/>
          <w:lang w:val="en-US" w:eastAsia="zh-CN"/>
        </w:rPr>
        <w:t>故</w:t>
      </w:r>
      <w:r>
        <w:rPr>
          <w:rFonts w:hint="eastAsia" w:ascii="仿宋_GB2312" w:hAnsi="仿宋_GB2312" w:cs="仿宋_GB2312"/>
          <w:b w:val="0"/>
          <w:bCs w:val="0"/>
          <w:color w:val="auto"/>
          <w:sz w:val="32"/>
          <w:szCs w:val="32"/>
          <w:u w:val="none"/>
          <w:lang w:val="en-US" w:eastAsia="zh-CN"/>
        </w:rPr>
        <w:t>国有资本经营预算支出表</w:t>
      </w:r>
      <w:r>
        <w:rPr>
          <w:rFonts w:hint="eastAsia" w:ascii="仿宋_GB2312"/>
          <w:b w:val="0"/>
          <w:bCs w:val="0"/>
          <w:color w:val="auto"/>
          <w:sz w:val="32"/>
          <w:szCs w:val="32"/>
          <w:highlight w:val="none"/>
          <w:u w:val="none"/>
          <w:lang w:val="en-US" w:eastAsia="zh-CN"/>
        </w:rPr>
        <w:t>无数据，</w:t>
      </w:r>
      <w:r>
        <w:rPr>
          <w:rFonts w:hint="eastAsia" w:ascii="仿宋_GB2312" w:hAnsi="仿宋_GB2312" w:cs="仿宋_GB2312"/>
          <w:b w:val="0"/>
          <w:bCs w:val="0"/>
          <w:color w:val="auto"/>
          <w:sz w:val="32"/>
          <w:szCs w:val="32"/>
          <w:highlight w:val="none"/>
          <w:u w:val="none"/>
          <w:lang w:val="en-US" w:eastAsia="zh-CN"/>
        </w:rPr>
        <w:t>与上年一致。</w:t>
      </w:r>
    </w:p>
    <w:p>
      <w:pPr>
        <w:pStyle w:val="6"/>
        <w:numPr>
          <w:ilvl w:val="0"/>
          <w:numId w:val="3"/>
        </w:numPr>
        <w:ind w:firstLine="64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对其他情况的说明</w:t>
      </w:r>
    </w:p>
    <w:p>
      <w:pPr>
        <w:pStyle w:val="6"/>
        <w:numPr>
          <w:ilvl w:val="0"/>
          <w:numId w:val="0"/>
        </w:numPr>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（1）政府债务情况说明</w:t>
      </w:r>
    </w:p>
    <w:p>
      <w:pPr>
        <w:pStyle w:val="6"/>
        <w:numPr>
          <w:ilvl w:val="0"/>
          <w:numId w:val="0"/>
        </w:numPr>
        <w:ind w:firstLine="640"/>
        <w:rPr>
          <w:rFonts w:hint="eastAsia" w:ascii="仿宋_GB2312" w:hAnsi="仿宋_GB2312" w:cs="仿宋_GB2312"/>
          <w:b w:val="0"/>
          <w:bCs w:val="0"/>
          <w:color w:val="auto"/>
          <w:sz w:val="32"/>
          <w:szCs w:val="32"/>
          <w:u w:val="none"/>
          <w:lang w:val="en-US" w:eastAsia="zh-CN"/>
        </w:rPr>
      </w:pPr>
      <w:r>
        <w:rPr>
          <w:rFonts w:hint="eastAsia" w:ascii="仿宋_GB2312" w:hAnsi="仿宋_GB2312" w:cs="仿宋_GB2312"/>
          <w:b w:val="0"/>
          <w:bCs w:val="0"/>
          <w:color w:val="auto"/>
          <w:sz w:val="32"/>
          <w:szCs w:val="32"/>
          <w:u w:val="none"/>
          <w:lang w:val="en-US" w:eastAsia="zh-CN"/>
        </w:rPr>
        <w:t>2023年本部门无政府债务，与上年一致。</w:t>
      </w:r>
    </w:p>
    <w:p>
      <w:pPr>
        <w:pStyle w:val="6"/>
        <w:numPr>
          <w:ilvl w:val="0"/>
          <w:numId w:val="0"/>
        </w:numPr>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（2）其他项目支出绩效情况</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1、应急物资储备库房租项目。</w:t>
      </w:r>
      <w:r>
        <w:rPr>
          <w:rFonts w:hint="eastAsia" w:ascii="仿宋_GB2312" w:hAnsi="仿宋_GB2312" w:eastAsia="仿宋_GB2312" w:cs="仿宋_GB2312"/>
          <w:b w:val="0"/>
          <w:bCs w:val="0"/>
          <w:sz w:val="32"/>
          <w:szCs w:val="32"/>
          <w:highlight w:val="none"/>
          <w:u w:val="none"/>
          <w:lang w:val="en-US" w:eastAsia="zh-CN"/>
        </w:rPr>
        <w:t>预算经费50万元。2024年度项目绩效总目标是：保障我市医疗应急物资保障工作正常运转。产出指标：储备仓库1650平方米，储备仓库达到省级标准。效益指标：医疗应急物资储备满足疫情防控需求。满意度指标：客户满意度90%以上。</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2、血防经费项目。</w:t>
      </w:r>
      <w:r>
        <w:rPr>
          <w:rFonts w:hint="eastAsia" w:ascii="仿宋_GB2312" w:hAnsi="仿宋_GB2312" w:eastAsia="仿宋_GB2312" w:cs="仿宋_GB2312"/>
          <w:b w:val="0"/>
          <w:bCs w:val="0"/>
          <w:sz w:val="32"/>
          <w:szCs w:val="32"/>
          <w:highlight w:val="none"/>
          <w:u w:val="none"/>
          <w:lang w:val="en-US" w:eastAsia="zh-CN"/>
        </w:rPr>
        <w:t>预算经费40万元。2024年度项目绩效总目标是：全市以行政村为单位人群感染率控制在1%以下，查不到当地新感染的血吸虫病病人。产出指标：查螺5940万㎡，药物灭螺1805万㎡，人群查病28000人次，人群感染率﹤1%（以村为单位），当地新感染的血吸虫病病人为0。效益指标：消除血吸虫病危害，保护疫区群众身体健康，无急感病例。满意度指标：服务对象满意度指标≥90%。</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3、黄石市干部保健工作经费项目。</w:t>
      </w:r>
      <w:r>
        <w:rPr>
          <w:rFonts w:hint="eastAsia" w:ascii="仿宋_GB2312" w:hAnsi="仿宋_GB2312" w:eastAsia="仿宋_GB2312" w:cs="仿宋_GB2312"/>
          <w:b w:val="0"/>
          <w:bCs w:val="0"/>
          <w:sz w:val="32"/>
          <w:szCs w:val="32"/>
          <w:highlight w:val="none"/>
          <w:u w:val="none"/>
          <w:lang w:val="en-US" w:eastAsia="zh-CN"/>
        </w:rPr>
        <w:t>预算经费30万元。2024年度项目绩效总目标是：全面提高保健对象特别是重点保健对象的健康水平和保健意识。产出指标：重点保障对象90人次，提高保健工作管理水平。效益指标：为保健对象提供高质量的医疗技术，解除病痛，促进健康；为我市经济建设及社会发展服务。满意度指标：服务对象满意度≥93%。</w:t>
      </w:r>
    </w:p>
    <w:p>
      <w:pPr>
        <w:pStyle w:val="6"/>
        <w:numPr>
          <w:ilvl w:val="0"/>
          <w:numId w:val="0"/>
        </w:numPr>
        <w:ind w:firstLine="640" w:firstLineChars="200"/>
        <w:rPr>
          <w:rFonts w:hint="eastAsia" w:ascii="仿宋_GB2312" w:hAnsi="仿宋_GB2312" w:eastAsia="仿宋_GB2312" w:cs="仿宋_GB2312"/>
          <w:b w:val="0"/>
          <w:bCs w:val="0"/>
          <w:sz w:val="32"/>
          <w:szCs w:val="32"/>
          <w:highlight w:val="none"/>
          <w:u w:val="none"/>
          <w:lang w:val="en-US" w:eastAsia="zh-CN"/>
        </w:rPr>
      </w:pPr>
      <w:r>
        <w:rPr>
          <w:rFonts w:hint="eastAsia" w:ascii="仿宋_GB2312" w:eastAsia="仿宋_GB2312"/>
          <w:b w:val="0"/>
          <w:bCs w:val="0"/>
          <w:color w:val="000000"/>
          <w:sz w:val="32"/>
          <w:szCs w:val="32"/>
          <w:highlight w:val="none"/>
          <w:u w:val="none"/>
          <w:lang w:val="en-US" w:eastAsia="zh-CN"/>
        </w:rPr>
        <w:t>4、黄石市医疗纠纷人民调解委员会工作经费项目。</w:t>
      </w:r>
      <w:r>
        <w:rPr>
          <w:rFonts w:hint="eastAsia" w:ascii="仿宋_GB2312" w:hAnsi="仿宋_GB2312" w:eastAsia="仿宋_GB2312" w:cs="仿宋_GB2312"/>
          <w:b w:val="0"/>
          <w:bCs w:val="0"/>
          <w:sz w:val="32"/>
          <w:szCs w:val="32"/>
          <w:highlight w:val="none"/>
          <w:u w:val="none"/>
          <w:lang w:val="en-US" w:eastAsia="zh-CN"/>
        </w:rPr>
        <w:t>预算经费25万元。2024年度项目绩效总目标是：有效使我市医闹现象逐年呈下降趋势，还有效防止了医患矛盾激化，维护社会稳定、促进社会和谐，维护医患双方的合法权益。通过调解窗口，充分展示了市政府执政、施政理念。产出指标：2024年受理案件48件,受理案件结案率≥90%，受理案件到成功办结平均时间1个月左右。效益指标：为患者争取赔偿，为医院减少赔偿金，有效缓解了医患矛盾，优化医疗环境，维护了患者的正常权益；全市医疗纠纷和医闹上访事件逐年递减，医患关系得到改善，就医环境得到了优化；避免医疗纠纷矛盾的激化，提供化解医疗纠纷、法律宣传、维护社会和谐稳定的平台；即有效维护了患者的权益，又帮助医疗机构化解纠纷。满意度指标：服务对象满意度≥98%。</w:t>
      </w:r>
    </w:p>
    <w:p>
      <w:pPr>
        <w:adjustRightInd w:val="0"/>
        <w:snapToGrid w:val="0"/>
        <w:spacing w:line="480" w:lineRule="exact"/>
        <w:ind w:firstLine="640" w:firstLineChars="200"/>
        <w:rPr>
          <w:rFonts w:hint="eastAsia" w:ascii="仿宋_GB2312" w:hAnsi="仿宋" w:eastAsia="仿宋_GB2312" w:cs="宋体"/>
          <w:b w:val="0"/>
          <w:bCs w:val="0"/>
          <w:color w:val="000000"/>
          <w:kern w:val="2"/>
          <w:sz w:val="32"/>
          <w:szCs w:val="32"/>
          <w:highlight w:val="none"/>
          <w:u w:val="none"/>
          <w:lang w:val="en-US" w:eastAsia="zh-CN" w:bidi="ar-SA"/>
        </w:rPr>
      </w:pPr>
      <w:r>
        <w:rPr>
          <w:rFonts w:hint="eastAsia" w:ascii="仿宋_GB2312" w:hAnsi="仿宋" w:eastAsia="仿宋_GB2312" w:cs="宋体"/>
          <w:b w:val="0"/>
          <w:bCs w:val="0"/>
          <w:color w:val="000000"/>
          <w:kern w:val="2"/>
          <w:sz w:val="32"/>
          <w:szCs w:val="32"/>
          <w:highlight w:val="none"/>
          <w:u w:val="none"/>
          <w:lang w:val="en-US" w:eastAsia="zh-CN" w:bidi="ar-SA"/>
        </w:rPr>
        <w:t>5、艾滋病防治项目。预算经费  32 万元。2024年度项目绩效总目标是：（一）完成对全市各医疗机构送检HIV初筛阳性样本的复检及确证实验，送检样本检测率为100%;（二）全市存活HIV阳性病人病毒载量、CD4随访检测比例、未检测配偶或单阳配偶HIV搞体检测比例均不低于90%;（三）艾滋病商情报告质量、首次流调质量、病例核查报告质量符合率95%，HIV/AIDS死亡原因填报率100%;（四）全市符合条件的感染者和病人抗病毒治疗比例不低于90%，治疗成功率不低于95%;（五）完成男性性行为者、暗娼、吸毒人群HIV抗体筛查人次数合计不少于1440人，艾滋病检测咨询不少于900人.产出指标：医疗机构HIV初筛阳性样本确证检测率100%;艾滋病高危人群HIV筛查人次数1440人次；艾滋病自愿咨询检测人次数900人次；抗病毒治疗比例90%；存活病人病载、CD4随访检测率90%；艾滋病报告质量95%；艾滋病随访检测比例90%；单阳配偶检测比例95%；抗病毒治疗成功率95%。效益指标：艾滋病病死率进一步下降，存活的HIV感染者和病人生活质量进一步提高，维护社会稳定。满意度指标：遏制艾滋病疫情上升势头，普通人群HIV感染率保持在较低水平。</w:t>
      </w:r>
    </w:p>
    <w:p>
      <w:pPr>
        <w:adjustRightInd w:val="0"/>
        <w:snapToGrid w:val="0"/>
        <w:spacing w:line="480" w:lineRule="exact"/>
        <w:ind w:firstLine="640" w:firstLineChars="200"/>
        <w:rPr>
          <w:rFonts w:hint="eastAsia" w:ascii="仿宋_GB2312" w:hAnsi="仿宋" w:eastAsia="仿宋_GB2312" w:cs="宋体"/>
          <w:b w:val="0"/>
          <w:bCs w:val="0"/>
          <w:color w:val="000000"/>
          <w:kern w:val="2"/>
          <w:sz w:val="32"/>
          <w:szCs w:val="32"/>
          <w:highlight w:val="none"/>
          <w:u w:val="none"/>
          <w:lang w:val="en-US" w:eastAsia="zh-CN" w:bidi="ar-SA"/>
        </w:rPr>
      </w:pPr>
      <w:r>
        <w:rPr>
          <w:rFonts w:hint="eastAsia" w:ascii="仿宋_GB2312" w:hAnsi="仿宋" w:eastAsia="仿宋_GB2312" w:cs="宋体"/>
          <w:b w:val="0"/>
          <w:bCs w:val="0"/>
          <w:color w:val="000000"/>
          <w:kern w:val="2"/>
          <w:sz w:val="32"/>
          <w:szCs w:val="32"/>
          <w:highlight w:val="none"/>
          <w:u w:val="none"/>
          <w:lang w:val="en-US" w:eastAsia="zh-CN" w:bidi="ar-SA"/>
        </w:rPr>
        <w:t>6、慢病、传染病、免疫规划、地方病防治防治项目。预算经费  72 万元。2024年度项目绩效总目标是：一、慢病：1.全市死因监测粗死亡率超过6‰，人均期望寿命及重大慢病过早死亡率达到健康湖北考核目标；2.规范肿瘤登记、心脑血管事件报告，推进慢阻肺报告。肿瘤死亡发病比在0.55-0.85之间，肿瘤病理诊断率≥66%，心脑血管事件发病率＞200/10万；3.实施全民健康生活方式，组织各县区开展全民健康生活方式月宣传活动；4.规范全市老年人、高血压、糖尿病健康管理；5、协助黄石港区开展慢病示范区建设。二、传染病：1、完成各类传染病监测，掌握我市病原动态。2、调查各类相关传染病病例，防控各种传染病疫情进一步扩散。3、加强输入性传染病的防控防止本地传播扩散。 三、地方病： 1、居民合格碘盐食用率保持在95%以上，碘盐覆盖率达100%。2、8-10岁学生甲状腺肿大率小于5%。3、改水降氟工程水氟含量达到国家生活饮用水标准。                                              四、免疫规划：国家免疫规划疫苗接种率≥90%；入托入学新生预防接种证查验率≥95%；疑似预防接种异常反应规范处置率≥90%" 。效益指标：降低相关疾病直接负担（减少可预防针对疾病诊断、治疗；低相关疾病间接负担（陪护、劳动力损失、相关社会负担）等。满意度指标：达到相关传染病防控工作指标要求。</w:t>
      </w:r>
    </w:p>
    <w:p>
      <w:pPr>
        <w:pStyle w:val="6"/>
        <w:numPr>
          <w:ilvl w:val="0"/>
          <w:numId w:val="0"/>
        </w:numPr>
        <w:ind w:firstLine="640"/>
        <w:rPr>
          <w:rFonts w:hint="eastAsia" w:ascii="仿宋_GB2312" w:hAnsi="仿宋_GB2312" w:cs="仿宋_GB2312"/>
          <w:b w:val="0"/>
          <w:bCs w:val="0"/>
          <w:color w:val="auto"/>
          <w:sz w:val="32"/>
          <w:szCs w:val="32"/>
          <w:u w:val="none"/>
          <w:lang w:val="en-US" w:eastAsia="zh-CN"/>
        </w:rPr>
      </w:pPr>
      <w:r>
        <w:rPr>
          <w:rFonts w:hint="eastAsia" w:ascii="仿宋_GB2312" w:hAnsi="仿宋" w:cs="宋体"/>
          <w:b w:val="0"/>
          <w:bCs w:val="0"/>
          <w:color w:val="000000"/>
          <w:kern w:val="2"/>
          <w:sz w:val="32"/>
          <w:szCs w:val="32"/>
          <w:highlight w:val="none"/>
          <w:u w:val="none"/>
          <w:lang w:val="en-US" w:eastAsia="zh-CN" w:bidi="ar-SA"/>
        </w:rPr>
        <w:t>7、</w:t>
      </w:r>
      <w:r>
        <w:rPr>
          <w:rFonts w:hint="eastAsia" w:ascii="仿宋_GB2312" w:hAnsi="仿宋_GB2312" w:cs="仿宋_GB2312"/>
          <w:b w:val="0"/>
          <w:bCs w:val="0"/>
          <w:color w:val="auto"/>
          <w:sz w:val="32"/>
          <w:szCs w:val="32"/>
          <w:u w:val="none"/>
          <w:lang w:val="en-US" w:eastAsia="zh-CN"/>
        </w:rPr>
        <w:t>安全生产监管专项项目。预算经费5万元。2024年度项目绩效总目标是：各项工作有序推进，企业职业病防治主体责任有效落实，职工职业健康权益得到有效保障，用人单位违法行为得到处理，各类投诉举报得到及时有效处置。产出指标：职责范围内用人单位检查覆盖率90%，违法案件处理率100%，投诉举报处置率100%。效益指标：用人单位职业病防治主体责任有效落实100%，用人单位职工职业健康权益有效保障100%。</w:t>
      </w:r>
    </w:p>
    <w:p>
      <w:pPr>
        <w:pStyle w:val="6"/>
        <w:numPr>
          <w:ilvl w:val="0"/>
          <w:numId w:val="0"/>
        </w:numPr>
        <w:ind w:firstLine="640"/>
        <w:rPr>
          <w:rFonts w:hint="eastAsia" w:ascii="仿宋_GB2312" w:hAnsi="仿宋_GB2312" w:cs="仿宋_GB2312"/>
          <w:b w:val="0"/>
          <w:bCs w:val="0"/>
          <w:color w:val="auto"/>
          <w:sz w:val="32"/>
          <w:szCs w:val="32"/>
          <w:u w:val="none"/>
          <w:lang w:val="en-US" w:eastAsia="zh-CN"/>
        </w:rPr>
      </w:pPr>
      <w:r>
        <w:rPr>
          <w:rFonts w:hint="eastAsia" w:ascii="仿宋_GB2312" w:hAnsi="仿宋_GB2312" w:cs="仿宋_GB2312"/>
          <w:b w:val="0"/>
          <w:bCs w:val="0"/>
          <w:color w:val="auto"/>
          <w:sz w:val="32"/>
          <w:szCs w:val="32"/>
          <w:u w:val="none"/>
          <w:lang w:val="en-US" w:eastAsia="zh-CN"/>
        </w:rPr>
        <w:t>8、卫生监督快检设备运行维护及委托业务经费项目。预算经费20万元。2024年度项目绩效总目标是：确保职业病、生活饮用水、公共场所、学校卫生等专业配套现场快检设备的正常使用和维护，着力提升依法履职能力和执法办案水平，全面提升全市卫生监督综合监管能力。产出指标：执法督导检查设备大于100种，精准执法率大于90%，执法覆盖率大于95%。效益指标：提升全市卫生监督综合监管能力。满意度指标：服务对象满意度90%。</w:t>
      </w:r>
    </w:p>
    <w:p>
      <w:pPr>
        <w:pStyle w:val="6"/>
        <w:numPr>
          <w:ilvl w:val="0"/>
          <w:numId w:val="0"/>
        </w:numPr>
        <w:ind w:firstLine="640"/>
        <w:rPr>
          <w:rFonts w:hint="eastAsia" w:ascii="仿宋_GB2312" w:hAnsi="仿宋_GB2312" w:cs="仿宋_GB2312"/>
          <w:b w:val="0"/>
          <w:bCs w:val="0"/>
          <w:color w:val="auto"/>
          <w:sz w:val="32"/>
          <w:szCs w:val="32"/>
          <w:u w:val="none"/>
          <w:lang w:val="en-US" w:eastAsia="zh-CN"/>
        </w:rPr>
      </w:pPr>
      <w:r>
        <w:rPr>
          <w:rFonts w:hint="eastAsia" w:ascii="仿宋_GB2312" w:hAnsi="仿宋_GB2312" w:cs="仿宋_GB2312"/>
          <w:b w:val="0"/>
          <w:bCs w:val="0"/>
          <w:color w:val="auto"/>
          <w:sz w:val="32"/>
          <w:szCs w:val="32"/>
          <w:u w:val="none"/>
          <w:lang w:val="en-US" w:eastAsia="zh-CN"/>
        </w:rPr>
        <w:t>9、企业负责人职业卫生培训项目。预算经费10万元。2024年度项目绩效总目标是：用人单位职业病防治主体责任有效落实，用人单位的职业病危害检测率、劳动者职业健康检查及培训率、职业病危害项目申报率得到有效提高。产出指标：用人单位职业病危害因素检测、评价率90%，用人单位劳动者职业健康检查率90%，用人单位职业病危害项目申报率90%，用人单位劳动者职业卫生培训率90%。效益指标：用人单位职业病防治主体责任有效落实90%，用人单位职工职业健康权益有效保障90%。满意度指标：服务对象满意度90%。</w:t>
      </w:r>
    </w:p>
    <w:p>
      <w:pPr>
        <w:pStyle w:val="6"/>
        <w:numPr>
          <w:ilvl w:val="0"/>
          <w:numId w:val="0"/>
        </w:numPr>
        <w:ind w:firstLine="640" w:firstLineChars="200"/>
        <w:rPr>
          <w:rFonts w:hint="eastAsia" w:ascii="仿宋_GB2312" w:eastAsia="仿宋_GB2312"/>
          <w:b w:val="0"/>
          <w:bCs w:val="0"/>
          <w:color w:val="000000"/>
          <w:sz w:val="32"/>
          <w:szCs w:val="32"/>
          <w:highlight w:val="none"/>
          <w:lang w:val="en-US" w:eastAsia="zh-CN"/>
        </w:rPr>
      </w:pPr>
      <w:r>
        <w:rPr>
          <w:rFonts w:hint="eastAsia" w:ascii="仿宋_GB2312" w:eastAsia="仿宋_GB2312"/>
          <w:b w:val="0"/>
          <w:bCs w:val="0"/>
          <w:color w:val="000000"/>
          <w:sz w:val="32"/>
          <w:szCs w:val="32"/>
          <w:highlight w:val="none"/>
          <w:lang w:val="en-US" w:eastAsia="zh-CN"/>
        </w:rPr>
        <w:t>（3）预算公开管理文件</w:t>
      </w:r>
    </w:p>
    <w:p>
      <w:pPr>
        <w:widowControl/>
        <w:spacing w:line="560" w:lineRule="exact"/>
        <w:ind w:firstLine="643" w:firstLineChars="200"/>
        <w:jc w:val="both"/>
        <w:rPr>
          <w:rFonts w:hint="eastAsia" w:ascii="仿宋" w:hAnsi="仿宋" w:eastAsia="仿宋" w:cs="Times"/>
          <w:kern w:val="0"/>
          <w:sz w:val="32"/>
          <w:szCs w:val="32"/>
          <w:highlight w:val="none"/>
          <w:lang w:val="en-US" w:eastAsia="zh-CN"/>
        </w:rPr>
      </w:pPr>
      <w:r>
        <w:rPr>
          <w:rFonts w:hint="eastAsia" w:ascii="仿宋" w:hAnsi="仿宋" w:eastAsia="仿宋" w:cs="Times"/>
          <w:b/>
          <w:bCs/>
          <w:kern w:val="0"/>
          <w:sz w:val="32"/>
          <w:szCs w:val="32"/>
          <w:highlight w:val="none"/>
          <w:lang w:val="en-US" w:eastAsia="zh-CN"/>
        </w:rPr>
        <w:t>第十一条</w:t>
      </w:r>
      <w:r>
        <w:rPr>
          <w:rFonts w:hint="eastAsia" w:ascii="仿宋" w:hAnsi="仿宋" w:eastAsia="仿宋" w:cs="Times"/>
          <w:kern w:val="0"/>
          <w:sz w:val="32"/>
          <w:szCs w:val="32"/>
          <w:highlight w:val="none"/>
          <w:lang w:val="en-US" w:eastAsia="zh-CN"/>
        </w:rPr>
        <w:t xml:space="preserve">  部门预决算应当在批复后20日内在委机关门户网站向社会公开，公开原则为以公开为常态，不公开为例外，依法依规公开预决算。除涉及国家秘密外，不得少公开、不公开应当公开的事项，确保公开情况全面、真实、完整。</w:t>
      </w:r>
    </w:p>
    <w:p>
      <w:pPr>
        <w:keepNext w:val="0"/>
        <w:keepLines w:val="0"/>
        <w:pageBreakBefore w:val="0"/>
        <w:widowControl w:val="0"/>
        <w:kinsoku/>
        <w:wordWrap/>
        <w:overflowPunct/>
        <w:topLinePunct w:val="0"/>
        <w:autoSpaceDE/>
        <w:autoSpaceDN/>
        <w:bidi w:val="0"/>
        <w:spacing w:line="480" w:lineRule="exact"/>
        <w:ind w:left="0" w:leftChars="0" w:right="0" w:rightChars="0" w:firstLine="64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 w:hAnsi="仿宋" w:eastAsia="仿宋" w:cs="Times"/>
          <w:b/>
          <w:bCs/>
          <w:kern w:val="0"/>
          <w:sz w:val="32"/>
          <w:szCs w:val="32"/>
          <w:highlight w:val="none"/>
          <w:lang w:val="en-US" w:eastAsia="zh-CN"/>
        </w:rPr>
        <w:t>第十二条</w:t>
      </w:r>
      <w:r>
        <w:rPr>
          <w:rFonts w:hint="eastAsia" w:ascii="仿宋" w:hAnsi="仿宋" w:eastAsia="仿宋" w:cs="Times"/>
          <w:kern w:val="0"/>
          <w:sz w:val="32"/>
          <w:szCs w:val="32"/>
          <w:highlight w:val="none"/>
          <w:lang w:val="en-US" w:eastAsia="zh-CN"/>
        </w:rPr>
        <w:t xml:space="preserve">  部门预决算公开的内容为市财政部门批复的部门预决算及报表，包括部门收支总体情况、财政拨款收支情况和其他反映部门预决算的有关信息。</w:t>
      </w:r>
    </w:p>
    <w:p>
      <w:pPr>
        <w:pStyle w:val="6"/>
        <w:rPr>
          <w:rFonts w:hint="eastAsia" w:ascii="黑体" w:hAnsi="黑体" w:eastAsia="黑体" w:cs="黑体"/>
          <w:sz w:val="32"/>
          <w:szCs w:val="32"/>
          <w:lang w:val="en-US" w:eastAsia="zh-CN"/>
        </w:rPr>
      </w:pPr>
      <w:r>
        <w:rPr>
          <w:rFonts w:hint="eastAsia" w:ascii="黑体" w:hAnsi="黑体" w:eastAsia="黑体" w:cs="黑体"/>
          <w:b/>
          <w:bCs/>
          <w:sz w:val="32"/>
          <w:szCs w:val="32"/>
          <w:u w:val="none"/>
          <w:lang w:val="en-US" w:eastAsia="zh-CN"/>
        </w:rPr>
        <w:t>第十部分  专业名词解释</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一）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（二）“三公”经费：指使用一般公共预算财政拨款安排的因公出国(境)费、 公务用车购置及运行维护费和公务接待费。其中， 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（三）财政拨款(补助)收入：指从同级财政部门取得的财政预算资金。</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（四）其他收入：指除上述“财政拨款收入”以外任务相应安排的资金</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（五）基本支出：指为保障机构正常运转、完成日常工作任务而发生的人员支出和公用支出。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（六）项目支出：指在基本支出之外为完成特定行政任务和事业发展目标所发生的支出。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（七）政府采购 ： 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keepNext w:val="0"/>
        <w:keepLines w:val="0"/>
        <w:pageBreakBefore w:val="0"/>
        <w:widowControl w:val="0"/>
        <w:kinsoku/>
        <w:wordWrap/>
        <w:overflowPunct/>
        <w:topLinePunct w:val="0"/>
        <w:autoSpaceDE/>
        <w:autoSpaceDN/>
        <w:bidi w:val="0"/>
        <w:adjustRightInd w:val="0"/>
        <w:snapToGrid w:val="0"/>
        <w:spacing w:line="380" w:lineRule="atLeast"/>
        <w:ind w:left="0" w:leftChars="0" w:right="0" w:rightChars="0" w:firstLine="640" w:firstLineChars="200"/>
        <w:jc w:val="both"/>
        <w:textAlignment w:val="auto"/>
        <w:outlineLvl w:val="9"/>
        <w:rPr>
          <w:rFonts w:hint="eastAsia"/>
          <w:lang w:val="en-US" w:eastAsia="zh-CN"/>
        </w:rPr>
      </w:pPr>
      <w:r>
        <w:rPr>
          <w:rFonts w:hint="eastAsia"/>
          <w:lang w:val="en-US" w:eastAsia="zh-CN"/>
        </w:rPr>
        <w:t>（根据本部门使用的其他专用名词补充解释）</w:t>
      </w:r>
    </w:p>
    <w:p>
      <w:pPr>
        <w:pStyle w:val="6"/>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第十一部分  2024部门预算表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right="-781" w:rightChars="-244"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一、</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年收支总表</w:t>
      </w:r>
    </w:p>
    <w:p>
      <w:pPr>
        <w:keepNext w:val="0"/>
        <w:keepLines w:val="0"/>
        <w:pageBreakBefore w:val="0"/>
        <w:widowControl w:val="0"/>
        <w:kinsoku/>
        <w:wordWrap/>
        <w:overflowPunct/>
        <w:topLinePunct w:val="0"/>
        <w:autoSpaceDE/>
        <w:autoSpaceDN/>
        <w:bidi w:val="0"/>
        <w:adjustRightInd w:val="0"/>
        <w:snapToGrid w:val="0"/>
        <w:spacing w:line="460" w:lineRule="atLeast"/>
        <w:ind w:right="-781" w:rightChars="-244"/>
        <w:jc w:val="both"/>
        <w:textAlignment w:val="auto"/>
        <w:rPr>
          <w:rFonts w:hint="default" w:ascii="仿宋_GB2312" w:hAnsi="宋体"/>
          <w:bCs/>
          <w:sz w:val="32"/>
          <w:szCs w:val="32"/>
          <w:highlight w:val="none"/>
          <w:lang w:val="en-US" w:eastAsia="zh-CN"/>
        </w:rPr>
      </w:pPr>
      <w:r>
        <w:drawing>
          <wp:inline distT="0" distB="0" distL="114300" distR="114300">
            <wp:extent cx="5228590" cy="5504815"/>
            <wp:effectExtent l="0" t="0" r="1016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28590" cy="55048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二、</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年收入总表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default" w:ascii="仿宋_GB2312" w:hAnsi="宋体"/>
          <w:bCs/>
          <w:sz w:val="32"/>
          <w:szCs w:val="32"/>
          <w:highlight w:val="none"/>
          <w:lang w:val="en-US" w:eastAsia="zh-CN"/>
        </w:rPr>
      </w:pPr>
      <w:r>
        <w:drawing>
          <wp:inline distT="0" distB="0" distL="114300" distR="114300">
            <wp:extent cx="5267960" cy="1744345"/>
            <wp:effectExtent l="0" t="0" r="8890"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67960" cy="174434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三、</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支</w:t>
      </w:r>
      <w:r>
        <w:rPr>
          <w:rFonts w:hint="eastAsia" w:ascii="仿宋_GB2312" w:hAnsi="宋体"/>
          <w:bCs/>
          <w:sz w:val="32"/>
          <w:szCs w:val="32"/>
          <w:highlight w:val="none"/>
          <w:lang w:val="en-US" w:eastAsia="zh-CN"/>
        </w:rPr>
        <w:t>出总表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default" w:ascii="仿宋_GB2312" w:hAnsi="宋体"/>
          <w:bCs/>
          <w:sz w:val="32"/>
          <w:szCs w:val="32"/>
          <w:highlight w:val="none"/>
          <w:lang w:val="en-US" w:eastAsia="zh-CN"/>
        </w:rPr>
      </w:pPr>
      <w:r>
        <w:drawing>
          <wp:inline distT="0" distB="0" distL="114300" distR="114300">
            <wp:extent cx="5266055" cy="3316605"/>
            <wp:effectExtent l="0" t="0" r="10795"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66055" cy="331660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四、</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财政拨款收支总表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rPr>
      </w:pPr>
      <w:r>
        <w:drawing>
          <wp:inline distT="0" distB="0" distL="114300" distR="114300">
            <wp:extent cx="5272405" cy="5219700"/>
            <wp:effectExtent l="0" t="0" r="444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272405" cy="52197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五、</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一般公共预算支出表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rPr>
      </w:pPr>
      <w:r>
        <w:drawing>
          <wp:inline distT="0" distB="0" distL="114300" distR="114300">
            <wp:extent cx="5272405" cy="3315970"/>
            <wp:effectExtent l="0" t="0" r="4445" b="1778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272405" cy="33159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eastAsia="仿宋_GB2312"/>
          <w:bCs/>
          <w:sz w:val="32"/>
          <w:szCs w:val="32"/>
          <w:highlight w:val="none"/>
        </w:rPr>
        <w:t>六、</w:t>
      </w:r>
      <w:r>
        <w:rPr>
          <w:rFonts w:hint="eastAsia" w:ascii="仿宋_GB2312" w:hAnsi="宋体"/>
          <w:bCs/>
          <w:sz w:val="32"/>
          <w:szCs w:val="32"/>
          <w:highlight w:val="none"/>
          <w:lang w:val="en-US" w:eastAsia="zh-CN"/>
        </w:rPr>
        <w:t>2024年一般公共预算基本支出表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default" w:ascii="仿宋_GB2312" w:hAnsi="宋体"/>
          <w:bCs/>
          <w:sz w:val="32"/>
          <w:szCs w:val="32"/>
          <w:highlight w:val="none"/>
          <w:lang w:val="en-US" w:eastAsia="zh-CN"/>
        </w:rPr>
      </w:pPr>
      <w:r>
        <w:drawing>
          <wp:inline distT="0" distB="0" distL="114300" distR="114300">
            <wp:extent cx="4809490" cy="4990465"/>
            <wp:effectExtent l="0" t="0" r="10160" b="63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4809490" cy="49904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七、</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年一般公共预算</w:t>
      </w:r>
      <w:r>
        <w:rPr>
          <w:rFonts w:hint="eastAsia" w:ascii="仿宋_GB2312" w:hAnsi="宋体" w:eastAsia="仿宋_GB2312"/>
          <w:bCs/>
          <w:sz w:val="32"/>
          <w:szCs w:val="32"/>
          <w:highlight w:val="none"/>
        </w:rPr>
        <w:t>“三公”经费支出表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default" w:ascii="仿宋_GB2312" w:hAnsi="宋体" w:eastAsia="仿宋_GB2312"/>
          <w:bCs/>
          <w:sz w:val="32"/>
          <w:szCs w:val="32"/>
          <w:highlight w:val="none"/>
          <w:lang w:val="en-US" w:eastAsia="zh-CN"/>
        </w:rPr>
      </w:pPr>
      <w:r>
        <w:drawing>
          <wp:inline distT="0" distB="0" distL="114300" distR="114300">
            <wp:extent cx="5268595" cy="1144270"/>
            <wp:effectExtent l="0" t="0" r="8255" b="1778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5268595" cy="114427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rPr>
        <w:t>八、</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w:t>
      </w:r>
      <w:r>
        <w:rPr>
          <w:rFonts w:hint="eastAsia" w:ascii="仿宋_GB2312" w:hAnsi="宋体" w:eastAsia="仿宋_GB2312"/>
          <w:bCs/>
          <w:sz w:val="32"/>
          <w:szCs w:val="32"/>
          <w:highlight w:val="none"/>
        </w:rPr>
        <w:t>政府性基金预算支出表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lang w:eastAsia="zh-CN"/>
        </w:rPr>
      </w:pPr>
      <w:r>
        <w:drawing>
          <wp:inline distT="0" distB="0" distL="114300" distR="114300">
            <wp:extent cx="5267325" cy="1430655"/>
            <wp:effectExtent l="0" t="0" r="9525" b="1714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267325" cy="143065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eastAsia="zh-CN"/>
        </w:rPr>
        <w:t>九、</w:t>
      </w:r>
      <w:r>
        <w:rPr>
          <w:rFonts w:hint="eastAsia" w:ascii="黑体" w:hAnsi="黑体" w:eastAsia="黑体" w:cs="黑体"/>
          <w:b w:val="0"/>
          <w:bCs w:val="0"/>
          <w:sz w:val="32"/>
          <w:szCs w:val="32"/>
          <w:u w:val="none"/>
          <w:lang w:val="en-US" w:eastAsia="zh-CN"/>
        </w:rPr>
        <w:t>2024</w:t>
      </w:r>
      <w:r>
        <w:rPr>
          <w:rFonts w:hint="eastAsia" w:ascii="仿宋_GB2312" w:hAnsi="宋体" w:eastAsia="仿宋_GB2312"/>
          <w:bCs/>
          <w:sz w:val="32"/>
          <w:szCs w:val="32"/>
          <w:highlight w:val="none"/>
          <w:lang w:val="en-US" w:eastAsia="zh-CN"/>
        </w:rPr>
        <w:t>年项目支出表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eastAsia="仿宋_GB2312"/>
          <w:bCs/>
          <w:sz w:val="32"/>
          <w:szCs w:val="32"/>
          <w:highlight w:val="none"/>
          <w:lang w:val="en-US" w:eastAsia="zh-CN"/>
        </w:rPr>
      </w:pPr>
      <w:r>
        <w:drawing>
          <wp:inline distT="0" distB="0" distL="114300" distR="114300">
            <wp:extent cx="5266690" cy="3428365"/>
            <wp:effectExtent l="0" t="0" r="10160" b="63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5266690" cy="34283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0" w:firstLineChars="200"/>
        <w:jc w:val="both"/>
        <w:textAlignment w:val="auto"/>
        <w:rPr>
          <w:rFonts w:hint="eastAsia" w:ascii="仿宋_GB2312" w:hAnsi="宋体"/>
          <w:bCs/>
          <w:sz w:val="32"/>
          <w:szCs w:val="32"/>
          <w:highlight w:val="none"/>
          <w:lang w:val="en-US" w:eastAsia="zh-CN"/>
        </w:rPr>
      </w:pPr>
      <w:r>
        <w:rPr>
          <w:rFonts w:hint="eastAsia" w:ascii="仿宋_GB2312" w:hAnsi="宋体"/>
          <w:bCs/>
          <w:sz w:val="32"/>
          <w:szCs w:val="32"/>
          <w:highlight w:val="none"/>
          <w:lang w:val="en-US" w:eastAsia="zh-CN"/>
        </w:rPr>
        <w:t>十、</w:t>
      </w:r>
      <w:r>
        <w:rPr>
          <w:rFonts w:hint="eastAsia" w:ascii="黑体" w:hAnsi="黑体" w:eastAsia="黑体" w:cs="黑体"/>
          <w:b w:val="0"/>
          <w:bCs w:val="0"/>
          <w:sz w:val="32"/>
          <w:szCs w:val="32"/>
          <w:u w:val="none"/>
          <w:lang w:val="en-US" w:eastAsia="zh-CN"/>
        </w:rPr>
        <w:t>2024</w:t>
      </w:r>
      <w:r>
        <w:rPr>
          <w:rFonts w:hint="eastAsia" w:ascii="仿宋_GB2312" w:hAnsi="宋体"/>
          <w:bCs/>
          <w:sz w:val="32"/>
          <w:szCs w:val="32"/>
          <w:highlight w:val="none"/>
          <w:lang w:val="en-US" w:eastAsia="zh-CN"/>
        </w:rPr>
        <w:t>年国有资本经营预算支出表</w:t>
      </w:r>
    </w:p>
    <w:p>
      <w:pPr>
        <w:keepNext w:val="0"/>
        <w:keepLines w:val="0"/>
        <w:pageBreakBefore w:val="0"/>
        <w:widowControl w:val="0"/>
        <w:kinsoku/>
        <w:wordWrap/>
        <w:overflowPunct/>
        <w:topLinePunct w:val="0"/>
        <w:autoSpaceDE/>
        <w:autoSpaceDN/>
        <w:bidi w:val="0"/>
        <w:adjustRightInd w:val="0"/>
        <w:snapToGrid w:val="0"/>
        <w:spacing w:line="460" w:lineRule="atLeast"/>
        <w:jc w:val="both"/>
        <w:textAlignment w:val="auto"/>
        <w:rPr>
          <w:rFonts w:hint="eastAsia" w:ascii="仿宋_GB2312" w:hAnsi="宋体"/>
          <w:bCs/>
          <w:sz w:val="32"/>
          <w:szCs w:val="32"/>
          <w:highlight w:val="none"/>
          <w:lang w:val="en-US" w:eastAsia="zh-CN"/>
        </w:rPr>
      </w:pPr>
      <w:r>
        <w:drawing>
          <wp:inline distT="0" distB="0" distL="114300" distR="114300">
            <wp:extent cx="5272405" cy="1778000"/>
            <wp:effectExtent l="0" t="0" r="4445" b="1270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4"/>
                    <a:stretch>
                      <a:fillRect/>
                    </a:stretch>
                  </pic:blipFill>
                  <pic:spPr>
                    <a:xfrm>
                      <a:off x="0" y="0"/>
                      <a:ext cx="5272405" cy="17780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r>
        <w:rPr>
          <w:rFonts w:hint="eastAsia" w:ascii="黑体" w:hAnsi="黑体" w:eastAsia="黑体" w:cs="黑体"/>
          <w:b/>
          <w:bCs/>
          <w:sz w:val="32"/>
          <w:szCs w:val="32"/>
          <w:u w:val="none"/>
          <w:lang w:val="en-US" w:eastAsia="zh-CN"/>
        </w:rPr>
        <w:t xml:space="preserve">第十二部分  </w:t>
      </w:r>
      <w:r>
        <w:rPr>
          <w:rFonts w:hint="eastAsia" w:ascii="黑体" w:hAnsi="黑体" w:eastAsia="黑体" w:cs="黑体"/>
          <w:b w:val="0"/>
          <w:bCs w:val="0"/>
          <w:sz w:val="32"/>
          <w:szCs w:val="32"/>
          <w:u w:val="none"/>
          <w:lang w:val="en-US" w:eastAsia="zh-CN"/>
        </w:rPr>
        <w:t>2024</w:t>
      </w:r>
      <w:r>
        <w:rPr>
          <w:rFonts w:hint="eastAsia" w:ascii="黑体" w:hAnsi="黑体" w:eastAsia="黑体" w:cs="黑体"/>
          <w:b/>
          <w:bCs/>
          <w:sz w:val="32"/>
          <w:szCs w:val="32"/>
          <w:u w:val="none"/>
          <w:lang w:val="en-US" w:eastAsia="zh-CN"/>
        </w:rPr>
        <w:t>年项目支出绩效目标批复表</w:t>
      </w:r>
    </w:p>
    <w:p>
      <w:pPr>
        <w:keepNext w:val="0"/>
        <w:keepLines w:val="0"/>
        <w:pageBreakBefore w:val="0"/>
        <w:widowControl w:val="0"/>
        <w:kinsoku/>
        <w:wordWrap/>
        <w:overflowPunct/>
        <w:topLinePunct w:val="0"/>
        <w:autoSpaceDE/>
        <w:autoSpaceDN/>
        <w:bidi w:val="0"/>
        <w:adjustRightInd w:val="0"/>
        <w:snapToGrid w:val="0"/>
        <w:spacing w:line="460" w:lineRule="atLeast"/>
        <w:ind w:left="0" w:leftChars="0" w:firstLine="643" w:firstLineChars="200"/>
        <w:jc w:val="both"/>
        <w:textAlignment w:val="auto"/>
        <w:rPr>
          <w:rFonts w:hint="eastAsia" w:ascii="黑体" w:hAnsi="黑体" w:eastAsia="黑体" w:cs="黑体"/>
          <w:b/>
          <w:bCs/>
          <w:sz w:val="32"/>
          <w:szCs w:val="32"/>
          <w:u w:val="none"/>
          <w:lang w:val="en-US" w:eastAsia="zh-CN"/>
        </w:rPr>
      </w:pPr>
    </w:p>
    <w:tbl>
      <w:tblPr>
        <w:tblStyle w:val="3"/>
        <w:tblW w:w="8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1046"/>
        <w:gridCol w:w="1067"/>
        <w:gridCol w:w="1716"/>
        <w:gridCol w:w="1424"/>
        <w:gridCol w:w="1439"/>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844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1" w:hRule="atLeast"/>
        </w:trPr>
        <w:tc>
          <w:tcPr>
            <w:tcW w:w="844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1" w:hRule="atLeast"/>
        </w:trPr>
        <w:tc>
          <w:tcPr>
            <w:tcW w:w="844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基本公共卫生服务经费</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7"/>
                <w:lang w:val="en-US" w:eastAsia="zh-CN" w:bidi="ar"/>
              </w:rPr>
              <w:t xml:space="preserve">    新增性项目口</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88" w:hRule="atLeast"/>
        </w:trPr>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7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1.居民规范化电子健康档案覆盖率≥62%    2.适龄儿童国家免疫规划疫苗接种率≥90%  3.7岁以下儿童健康管理率≥85%           4..0-6岁儿童眼保健和视力检查覆盖率≥90%     5.孕产妇系统管理率≥90%               6.65岁及以上老年人城乡社区规范健康管理服务率</w:t>
            </w:r>
            <w:r>
              <w:rPr>
                <w:rStyle w:val="8"/>
                <w:rFonts w:eastAsia="宋体"/>
                <w:lang w:val="en-US" w:eastAsia="zh-CN" w:bidi="ar"/>
              </w:rPr>
              <w:t>≥</w:t>
            </w:r>
            <w:r>
              <w:rPr>
                <w:rStyle w:val="9"/>
                <w:lang w:val="en-US" w:eastAsia="zh-CN" w:bidi="ar"/>
              </w:rPr>
              <w:t xml:space="preserve">62% 7.高血压患者基层规范管理服务率≥62% 8.2型糖尿病患者基层规范管理服务率≥62%    9.社区在册居家严重精神障碍患者健康管理率≥80%                                                10.肺结核患者管理率≥90%       11.老年人中医药健康管理率≥70%       12.儿童中医药健康管理率≥77%                         13.传染病和突发公共卫生事件报告率≥95%   14.卫生监督协管各专业每年巡查（访）2次完成率≥90%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服务人口</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91.29</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适龄儿童国家免疫规划疫苗接种率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7岁以下儿童健康管理率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85%以上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0-6岁儿童眼保健和视力检查覆盖率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孕产妇系统管理率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肺结核患者管理率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社区在册居家严重精神障碍患者健康管理率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老年人中医药健康管理率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儿童中医药健康管理率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77%以上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卫生监督协管各专业每年巡查（访）2次完成率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90%以上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居民规范化电子健康档案覆盖率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65岁及以上老年人城乡社区规范健康管理服务率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高血压患者基层规范管理服务率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2型糖尿病患者基层规范管理服务率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62%以上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传染病和突发公共卫生事件报告率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95%以上</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项目完成及时率</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城乡居民公共卫生差距</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不断缩小</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居民健康素养水平</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不断提高</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基本公共卫生服务水平</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不断提高</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r>
              <w:rPr>
                <w:rStyle w:val="10"/>
                <w:lang w:val="en-US" w:eastAsia="zh-CN" w:bidi="ar"/>
              </w:rPr>
              <w:t>90%</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6" w:hRule="atLeast"/>
        </w:trPr>
        <w:tc>
          <w:tcPr>
            <w:tcW w:w="41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2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tbl>
      <w:tblPr>
        <w:tblStyle w:val="3"/>
        <w:tblW w:w="8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1003"/>
        <w:gridCol w:w="1024"/>
        <w:gridCol w:w="1625"/>
        <w:gridCol w:w="1369"/>
        <w:gridCol w:w="1369"/>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3" w:hRule="atLeast"/>
        </w:trPr>
        <w:tc>
          <w:tcPr>
            <w:tcW w:w="8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8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80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实施国家基本药物制度补助资金</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8"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11"/>
                <w:lang w:val="en-US" w:eastAsia="zh-CN" w:bidi="ar"/>
              </w:rPr>
              <w:t xml:space="preserve">    新增性项目口</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1" w:hRule="atLeast"/>
        </w:trPr>
        <w:tc>
          <w:tcPr>
            <w:tcW w:w="1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67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基层医疗机构实施国家基本药物制度，推进综合改革顺利进行。对实施国家基本药物制度的基层医疗机构给予补助，支持国家基本药物制度在基层医疗机构顺利实施。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8"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7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实施国家基本药物制度的村卫生室覆盖率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村级医疗卫生覆盖率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99%以上</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村卫生室服务能力</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持续提升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按工作计划推进</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2024年底</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村卫生室工作人员素质</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持续提升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乡村医生收入</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保持稳定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国家基本药物制度在基层持续实施</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中长期</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9"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80%以上</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6" w:hRule="atLeast"/>
        </w:trPr>
        <w:tc>
          <w:tcPr>
            <w:tcW w:w="39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kinsoku/>
        <w:wordWrap/>
        <w:overflowPunct/>
        <w:topLinePunct w:val="0"/>
        <w:autoSpaceDE/>
        <w:autoSpaceDN/>
        <w:bidi w:val="0"/>
        <w:spacing w:line="460" w:lineRule="atLeast"/>
        <w:ind w:left="0" w:leftChars="0" w:right="0" w:rightChars="0" w:firstLine="0" w:firstLineChars="0"/>
        <w:jc w:val="both"/>
        <w:textAlignment w:val="auto"/>
        <w:outlineLvl w:val="9"/>
        <w:rPr>
          <w:rFonts w:hint="eastAsia" w:ascii="仿宋_GB2312" w:eastAsia="仿宋_GB2312"/>
          <w:b/>
          <w:bCs/>
          <w:color w:val="000000"/>
          <w:sz w:val="36"/>
          <w:szCs w:val="36"/>
          <w:highlight w:val="none"/>
          <w:lang w:val="en-US" w:eastAsia="zh-CN"/>
        </w:rPr>
      </w:pPr>
    </w:p>
    <w:tbl>
      <w:tblPr>
        <w:tblStyle w:val="3"/>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0"/>
        <w:gridCol w:w="1031"/>
        <w:gridCol w:w="1053"/>
        <w:gridCol w:w="1679"/>
        <w:gridCol w:w="1405"/>
        <w:gridCol w:w="1411"/>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 w:hRule="atLeast"/>
        </w:trPr>
        <w:tc>
          <w:tcPr>
            <w:tcW w:w="8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 w:hRule="atLeast"/>
        </w:trPr>
        <w:tc>
          <w:tcPr>
            <w:tcW w:w="8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 w:hRule="atLeast"/>
        </w:trPr>
        <w:tc>
          <w:tcPr>
            <w:tcW w:w="832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医疗机构取消药品加成财政专项补助经费</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7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13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69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落实医改目标任务，公立医院取消药品加成。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 w:hRule="atLeast"/>
        </w:trPr>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8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5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取消药品加成医疗机构数</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14家医院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药品加成（中药饮片除外）</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零加成</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财政补偿完成比例</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政府补偿完成及时率</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破除以药补医机制</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全面执行</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公立医院健康规范发展</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减轻患者负担</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减轻</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 w:hRule="atLeast"/>
        </w:trPr>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4" w:hRule="atLeast"/>
        </w:trPr>
        <w:tc>
          <w:tcPr>
            <w:tcW w:w="4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7"/>
        <w:gridCol w:w="1043"/>
        <w:gridCol w:w="946"/>
        <w:gridCol w:w="1539"/>
        <w:gridCol w:w="1339"/>
        <w:gridCol w:w="1592"/>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3" w:hRule="atLeast"/>
        </w:trPr>
        <w:tc>
          <w:tcPr>
            <w:tcW w:w="83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6" w:hRule="atLeast"/>
        </w:trPr>
        <w:tc>
          <w:tcPr>
            <w:tcW w:w="83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6" w:hRule="atLeast"/>
        </w:trPr>
        <w:tc>
          <w:tcPr>
            <w:tcW w:w="83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5"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公立医院改革补助经费</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5"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5"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48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持续性项目口    新增性项目■</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69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深化公立医院综合改革，建立健全现代医院管理制度，协调推进医疗价格、人事薪酬、药品流通，医保支付，提高医疗卫生服务质量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9"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医疗服务（不含药品、耗材、检查、化验收入）占公立医院收入的比例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较上年上升</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公立医院资产负债率</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住院次均费用增幅</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120急救中心应急管理</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三级公立医院出院患者手术占比</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1"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公立医院平均住院日</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预算完成及时率</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三级公立医院万元能耗支出</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实现收支平衡的公立医院数占公立医院总数的比例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基层医疗卫生机构诊疗人次占医疗卫生机构诊疗总人次数的比例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较上年提高</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9"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公立医院每急诊人次平均收费水平增长比例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公立医院出院者平均医药费用增长比例</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三级公立医院门诊人次数与出院人次数比</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较上年降低</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7"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4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公立医院职工满意度</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75%</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公立医院门诊患者满意度</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83%</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57" w:type="dxa"/>
            <w:tcBorders>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3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公立医院住院患者满意度</w:t>
            </w:r>
          </w:p>
        </w:tc>
        <w:tc>
          <w:tcPr>
            <w:tcW w:w="13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≥90</w:t>
            </w:r>
            <w:r>
              <w:rPr>
                <w:rFonts w:hint="eastAsia" w:ascii="宋体" w:hAnsi="宋体" w:eastAsia="宋体" w:cs="宋体"/>
                <w:i w:val="0"/>
                <w:color w:val="000000"/>
                <w:kern w:val="0"/>
                <w:sz w:val="18"/>
                <w:szCs w:val="18"/>
                <w:u w:val="none"/>
                <w:lang w:val="en-US" w:eastAsia="zh-CN" w:bidi="ar"/>
              </w:rPr>
              <w:t>%</w:t>
            </w:r>
          </w:p>
        </w:tc>
        <w:tc>
          <w:tcPr>
            <w:tcW w:w="156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trPr>
        <w:tc>
          <w:tcPr>
            <w:tcW w:w="38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8"/>
        <w:gridCol w:w="1018"/>
        <w:gridCol w:w="919"/>
        <w:gridCol w:w="1500"/>
        <w:gridCol w:w="1306"/>
        <w:gridCol w:w="1544"/>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9" w:hRule="atLeast"/>
        </w:trPr>
        <w:tc>
          <w:tcPr>
            <w:tcW w:w="81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81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816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黄石市医疗纠纷人民调解委员会工作经费</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7"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12"/>
                <w:lang w:val="en-US" w:eastAsia="zh-CN" w:bidi="ar"/>
              </w:rPr>
              <w:t xml:space="preserve">    新增性项目口</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6" w:hRule="atLeast"/>
        </w:trPr>
        <w:tc>
          <w:tcPr>
            <w:tcW w:w="1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67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有效使我市医闹现象逐年呈下降趋势，还有效防止了医患矛盾激化，维护社会稳定、促进社会和谐，维护医患双方的合法权益。通过调解窗口，充分展示了市政府执政、施政理念。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7" w:hRule="atLeast"/>
        </w:trPr>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9"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3"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机构运行经费25万元，其中，人员工资21万元，日常运行经费4万元</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2024年受理案件</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48件</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受理案件结案率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Style w:val="13"/>
                <w:lang w:val="en-US" w:eastAsia="zh-CN" w:bidi="ar"/>
              </w:rPr>
              <w:t>90%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6"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受理案件到成功办结平均时间1个月左右</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1个月左右</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7"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为患者争取赔偿，为医院减少赔偿金，有效缓解了医患矛盾，优化医疗环境，维护了患者的正常权益</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全市医疗纠纷和医闹上访事件逐年递减，医患关系得到改善，就医环境得到了优化。</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0"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避免医疗纠纷矛盾的激化，提供化解医疗纠纷、法律宣传、维护社会和谐稳定的平台。</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1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即有效维护了患者的权益，又帮助医疗机构化解纠纷</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0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Style w:val="12"/>
                <w:lang w:val="en-US" w:eastAsia="zh-CN" w:bidi="ar"/>
              </w:rPr>
              <w:t>98%</w:t>
            </w:r>
          </w:p>
        </w:tc>
        <w:tc>
          <w:tcPr>
            <w:tcW w:w="15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4" w:hRule="atLeast"/>
        </w:trPr>
        <w:tc>
          <w:tcPr>
            <w:tcW w:w="37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4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1"/>
        <w:gridCol w:w="1058"/>
        <w:gridCol w:w="960"/>
        <w:gridCol w:w="1562"/>
        <w:gridCol w:w="1359"/>
        <w:gridCol w:w="1607"/>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94"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94"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8494"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卫生健康管理服务经费</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430万</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 w:hRule="atLeast"/>
        </w:trPr>
        <w:tc>
          <w:tcPr>
            <w:tcW w:w="14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深入推进计生转型发展，重点保障计生两扶、监督执法、住院护理险、计生助你行等工作；为身份不明或无力支付费用的急危重伤病患者得到及时救助、有效的救助。保障职称评审等工作正常开展。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职称评审、重点学科建设等</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不少于1次</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两扶人员</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1764人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独生子女死亡家庭一次性抚慰金人数</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农村计划生育家庭奖励扶助人数</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生育关怀助你行补助人员</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600人</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补助资金发放标准执行合规率</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工作任务完成及时率</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经济效益指标</w:t>
            </w:r>
          </w:p>
        </w:tc>
        <w:tc>
          <w:tcPr>
            <w:tcW w:w="156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社会效益指标</w:t>
            </w: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受助对象经济负担</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减轻</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计划生育基本国策</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维护生育健康、社会和谐稳定</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较大促进</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促进计生事业转型发展</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较大促进</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6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受助对象及家庭满意度</w:t>
            </w:r>
          </w:p>
        </w:tc>
        <w:tc>
          <w:tcPr>
            <w:tcW w:w="13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90%以上</w:t>
            </w:r>
          </w:p>
        </w:tc>
        <w:tc>
          <w:tcPr>
            <w:tcW w:w="158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 w:hRule="atLeast"/>
        </w:trPr>
        <w:tc>
          <w:tcPr>
            <w:tcW w:w="39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9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7"/>
        <w:gridCol w:w="1163"/>
        <w:gridCol w:w="1051"/>
        <w:gridCol w:w="1703"/>
        <w:gridCol w:w="1491"/>
        <w:gridCol w:w="1774"/>
        <w:gridCol w:w="1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2" w:hRule="atLeast"/>
        </w:trPr>
        <w:tc>
          <w:tcPr>
            <w:tcW w:w="9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2" w:hRule="atLeast"/>
        </w:trPr>
        <w:tc>
          <w:tcPr>
            <w:tcW w:w="93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2" w:hRule="atLeast"/>
        </w:trPr>
        <w:tc>
          <w:tcPr>
            <w:tcW w:w="932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人口健康发展补助经费</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持续性项目口</w:t>
            </w:r>
            <w:r>
              <w:rPr>
                <w:rStyle w:val="14"/>
                <w:lang w:val="en-US" w:eastAsia="zh-CN" w:bidi="ar"/>
              </w:rPr>
              <w:t xml:space="preserve">    新增性项目■</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7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有效释放生育潜能，提升家庭发展能力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0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生育奖励标准</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1000元/户</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托育补贴标准</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500元/人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无创产前DNA检测</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680元/人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5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生育奖励人数</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托育补贴人数</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无创产前DNA检测人数</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8000人</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奖励资金补助合规率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资金发放完成比例</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2"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奖励资金补助及时率</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促进优生优育</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74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3" w:hRule="atLeast"/>
        </w:trPr>
        <w:tc>
          <w:tcPr>
            <w:tcW w:w="397"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5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受奖励对象满意度</w:t>
            </w:r>
          </w:p>
        </w:tc>
        <w:tc>
          <w:tcPr>
            <w:tcW w:w="14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7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74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6" w:hRule="atLeast"/>
        </w:trPr>
        <w:tc>
          <w:tcPr>
            <w:tcW w:w="43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5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tbl>
      <w:tblPr>
        <w:tblStyle w:val="3"/>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5"/>
        <w:gridCol w:w="1132"/>
        <w:gridCol w:w="1021"/>
        <w:gridCol w:w="1668"/>
        <w:gridCol w:w="1452"/>
        <w:gridCol w:w="1726"/>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trPr>
        <w:tc>
          <w:tcPr>
            <w:tcW w:w="9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trPr>
        <w:tc>
          <w:tcPr>
            <w:tcW w:w="90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9" w:hRule="atLeast"/>
        </w:trPr>
        <w:tc>
          <w:tcPr>
            <w:tcW w:w="90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7"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血防经费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7"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68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4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5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全市以行政村为单位人群感染率控制在1%以下，查不到当地新感染的血吸虫病病人。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6" w:hRule="atLeast"/>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2"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查螺</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5940万㎡</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8"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药物灭螺</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1805万㎡</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8"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人群查病</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28000人次</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8"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人群感染率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当地新感染的血吸虫病病人</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3"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2024年度</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项目完成及时率</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6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0"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消除血吸虫病危害，保护疫区群众身体健康</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无急感病例</w:t>
            </w: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城区、大冶市持续保持消除状态</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持续保持</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2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阳新县保持传播阻断标准</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持续保持</w:t>
            </w: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9"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2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6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45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90%</w:t>
            </w:r>
          </w:p>
        </w:tc>
        <w:tc>
          <w:tcPr>
            <w:tcW w:w="169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26" w:hRule="atLeast"/>
        </w:trPr>
        <w:tc>
          <w:tcPr>
            <w:tcW w:w="42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8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9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5"/>
        <w:gridCol w:w="1157"/>
        <w:gridCol w:w="1045"/>
        <w:gridCol w:w="1687"/>
        <w:gridCol w:w="1485"/>
        <w:gridCol w:w="1756"/>
        <w:gridCol w:w="1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92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92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926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1"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应急物资储备库房租</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0"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1"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1"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6" w:hRule="atLeast"/>
        </w:trPr>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保障我市医疗应急物资保障工作正常运转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3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2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50万元/年</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储备仓库</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1650平方米</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6"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专项资金</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2300万元</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6"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储备仓库</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达到省级标准</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租期</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5年</w:t>
            </w:r>
          </w:p>
        </w:tc>
        <w:tc>
          <w:tcPr>
            <w:tcW w:w="1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财务收支</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收支平衡</w:t>
            </w:r>
          </w:p>
        </w:tc>
        <w:tc>
          <w:tcPr>
            <w:tcW w:w="17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2"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医疗应急物资储备</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满足疫情防控需求</w:t>
            </w:r>
          </w:p>
        </w:tc>
        <w:tc>
          <w:tcPr>
            <w:tcW w:w="17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7" w:hRule="atLeast"/>
        </w:trPr>
        <w:tc>
          <w:tcPr>
            <w:tcW w:w="3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8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客户满意度</w:t>
            </w:r>
          </w:p>
        </w:tc>
        <w:tc>
          <w:tcPr>
            <w:tcW w:w="148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90%以上</w:t>
            </w:r>
          </w:p>
        </w:tc>
        <w:tc>
          <w:tcPr>
            <w:tcW w:w="17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7" w:hRule="atLeast"/>
        </w:trPr>
        <w:tc>
          <w:tcPr>
            <w:tcW w:w="4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9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2"/>
        <w:gridCol w:w="1117"/>
        <w:gridCol w:w="1009"/>
        <w:gridCol w:w="1645"/>
        <w:gridCol w:w="1431"/>
        <w:gridCol w:w="1726"/>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1" w:hRule="atLeast"/>
        </w:trPr>
        <w:tc>
          <w:tcPr>
            <w:tcW w:w="89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1" w:hRule="atLeast"/>
        </w:trPr>
        <w:tc>
          <w:tcPr>
            <w:tcW w:w="89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1" w:hRule="atLeast"/>
        </w:trPr>
        <w:tc>
          <w:tcPr>
            <w:tcW w:w="89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重点专科建设发展经费</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9"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9"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6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持续性项目口   新增性项目■ </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4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深入推进计生转型发展，重点保障计生两扶、监督执法、住院护理险、计生助你行等工作；为身份不明或无力支付费用的急危重伤病患者得到及时救助、有效的救助。保障职称评审等工作正常开展。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38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新创建国家级临床重点专科</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新创建省级临床重点专科</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8个</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三级公立医院CMI</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三级公立医院DRG组数</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≥700组</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工作任务完成及时率</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restart"/>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重大疾病临床诊疗能力水平</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7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4"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促进全市医疗卫生事业高质量发展，黄石市医疗服务能力及区域地位</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7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9"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0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公立医院住院患者满意度</w:t>
            </w:r>
          </w:p>
        </w:tc>
        <w:tc>
          <w:tcPr>
            <w:tcW w:w="143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2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91.71%</w:t>
            </w:r>
          </w:p>
        </w:tc>
        <w:tc>
          <w:tcPr>
            <w:tcW w:w="167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8" w:hRule="atLeast"/>
        </w:trPr>
        <w:tc>
          <w:tcPr>
            <w:tcW w:w="41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tbl>
      <w:tblPr>
        <w:tblStyle w:val="3"/>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2"/>
        <w:gridCol w:w="1148"/>
        <w:gridCol w:w="1037"/>
        <w:gridCol w:w="1691"/>
        <w:gridCol w:w="1472"/>
        <w:gridCol w:w="1742"/>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5" w:hRule="atLeast"/>
        </w:trPr>
        <w:tc>
          <w:tcPr>
            <w:tcW w:w="92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 w:hRule="atLeast"/>
        </w:trPr>
        <w:tc>
          <w:tcPr>
            <w:tcW w:w="92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 w:hRule="atLeast"/>
        </w:trPr>
        <w:tc>
          <w:tcPr>
            <w:tcW w:w="920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6"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黄石市干部保健工作经费</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6"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全面提高保健对象特别是重点保健对象的健康水平和保健意识。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39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2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1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6"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69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重点保障对象</w:t>
            </w: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90人/次</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提高保健工作管理水平</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保健时期</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1"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69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8"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69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为保健对象提供高质量的医疗技术，解除病痛，促进健康</w:t>
            </w: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71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2"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69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47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93%</w:t>
            </w:r>
          </w:p>
        </w:tc>
        <w:tc>
          <w:tcPr>
            <w:tcW w:w="171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45"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tbl>
      <w:tblPr>
        <w:tblStyle w:val="3"/>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5"/>
        <w:gridCol w:w="31"/>
        <w:gridCol w:w="41"/>
        <w:gridCol w:w="9"/>
        <w:gridCol w:w="388"/>
        <w:gridCol w:w="171"/>
        <w:gridCol w:w="244"/>
        <w:gridCol w:w="6"/>
        <w:gridCol w:w="148"/>
        <w:gridCol w:w="70"/>
        <w:gridCol w:w="84"/>
        <w:gridCol w:w="22"/>
        <w:gridCol w:w="362"/>
        <w:gridCol w:w="49"/>
        <w:gridCol w:w="304"/>
        <w:gridCol w:w="164"/>
        <w:gridCol w:w="81"/>
        <w:gridCol w:w="63"/>
        <w:gridCol w:w="21"/>
        <w:gridCol w:w="569"/>
        <w:gridCol w:w="45"/>
        <w:gridCol w:w="10"/>
        <w:gridCol w:w="506"/>
        <w:gridCol w:w="216"/>
        <w:gridCol w:w="226"/>
        <w:gridCol w:w="59"/>
        <w:gridCol w:w="78"/>
        <w:gridCol w:w="64"/>
        <w:gridCol w:w="618"/>
        <w:gridCol w:w="86"/>
        <w:gridCol w:w="385"/>
        <w:gridCol w:w="200"/>
        <w:gridCol w:w="119"/>
        <w:gridCol w:w="697"/>
        <w:gridCol w:w="198"/>
        <w:gridCol w:w="378"/>
        <w:gridCol w:w="470"/>
        <w:gridCol w:w="430"/>
        <w:gridCol w:w="479"/>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800" w:type="dxa"/>
          <w:trHeight w:val="552" w:hRule="atLeast"/>
        </w:trPr>
        <w:tc>
          <w:tcPr>
            <w:tcW w:w="8440" w:type="dxa"/>
            <w:gridSpan w:val="40"/>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311" w:hRule="atLeast"/>
        </w:trPr>
        <w:tc>
          <w:tcPr>
            <w:tcW w:w="8440" w:type="dxa"/>
            <w:gridSpan w:val="40"/>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311" w:hRule="atLeast"/>
        </w:trPr>
        <w:tc>
          <w:tcPr>
            <w:tcW w:w="8440" w:type="dxa"/>
            <w:gridSpan w:val="40"/>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464" w:hRule="atLeast"/>
        </w:trPr>
        <w:tc>
          <w:tcPr>
            <w:tcW w:w="14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923" w:type="dxa"/>
            <w:gridSpan w:val="1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城镇独生子女年老父母计划生育奖励</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7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650" w:hRule="atLeast"/>
        </w:trPr>
        <w:tc>
          <w:tcPr>
            <w:tcW w:w="14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923" w:type="dxa"/>
            <w:gridSpan w:val="1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1000万</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77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464" w:hRule="atLeast"/>
        </w:trPr>
        <w:tc>
          <w:tcPr>
            <w:tcW w:w="14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923" w:type="dxa"/>
            <w:gridSpan w:val="1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7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464" w:hRule="atLeast"/>
        </w:trPr>
        <w:tc>
          <w:tcPr>
            <w:tcW w:w="14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923" w:type="dxa"/>
            <w:gridSpan w:val="1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77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674" w:hRule="atLeast"/>
        </w:trPr>
        <w:tc>
          <w:tcPr>
            <w:tcW w:w="14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6983" w:type="dxa"/>
            <w:gridSpan w:val="2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落实计划生育基本国策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334" w:hRule="atLeast"/>
        </w:trPr>
        <w:tc>
          <w:tcPr>
            <w:tcW w:w="3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0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129"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794"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68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37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537"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94"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37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576"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12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经济成本指标</w:t>
            </w: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企业退休职工计划生育奖励标准</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3500元/人</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576"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12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企业退休职工计划生育奖励人数</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3000人</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441"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奖励资金补助合规率</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395"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资金发放完成比例</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395"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奖励资金补助及时率</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395"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129"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计划生育基本国策</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落实</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576"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退休计生家庭生活条件改善认可度</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545"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卫生健康事业持续健康发展</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576" w:hRule="atLeast"/>
        </w:trPr>
        <w:tc>
          <w:tcPr>
            <w:tcW w:w="3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0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12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受奖励对象满意度</w:t>
            </w:r>
          </w:p>
        </w:tc>
        <w:tc>
          <w:tcPr>
            <w:tcW w:w="12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800" w:type="dxa"/>
          <w:trHeight w:val="1196" w:hRule="atLeast"/>
        </w:trPr>
        <w:tc>
          <w:tcPr>
            <w:tcW w:w="4380" w:type="dxa"/>
            <w:gridSpan w:val="2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0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1244" w:hRule="atLeast"/>
        </w:trPr>
        <w:tc>
          <w:tcPr>
            <w:tcW w:w="3953" w:type="dxa"/>
            <w:gridSpan w:val="25"/>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371" w:hRule="atLeast"/>
        </w:trPr>
        <w:tc>
          <w:tcPr>
            <w:tcW w:w="3953" w:type="dxa"/>
            <w:gridSpan w:val="2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371" w:hRule="atLeast"/>
        </w:trPr>
        <w:tc>
          <w:tcPr>
            <w:tcW w:w="3953" w:type="dxa"/>
            <w:gridSpan w:val="25"/>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668" w:hRule="atLeast"/>
        </w:trPr>
        <w:tc>
          <w:tcPr>
            <w:tcW w:w="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10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艾滋病防治项目</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1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1254" w:hRule="atLeast"/>
        </w:trPr>
        <w:tc>
          <w:tcPr>
            <w:tcW w:w="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110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32万</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143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668" w:hRule="atLeast"/>
        </w:trPr>
        <w:tc>
          <w:tcPr>
            <w:tcW w:w="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110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黄石市卫健委</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43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668" w:hRule="atLeast"/>
        </w:trPr>
        <w:tc>
          <w:tcPr>
            <w:tcW w:w="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110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1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4897" w:hRule="atLeast"/>
        </w:trPr>
        <w:tc>
          <w:tcPr>
            <w:tcW w:w="8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3135"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（一）完成对全市各医疗机构送检HIV初筛阳性样本的复检及确证实验，送检样本检测率为100%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（二）全市存活HIV阳性病人病毒载量、CD4随访检测比例、未检测配偶或单阳配偶HIV搞体检测比例均不低于90%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（三）艾滋病商情报告质量、首次流调质量、病例核查报告质量符合率95%，HIV/AIDS死亡原因填报率100%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（四）全市符合条件的感染者和病人抗病毒治疗比例不低于90%，治疗成功率不低于95%</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（五）完成男性性行为者、暗娼、吸毒人群HIV抗体筛查人次数合计不少于1440人，艾滋病检测咨询不少于900人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6"/>
          <w:wAfter w:w="5287" w:type="dxa"/>
          <w:trHeight w:val="434"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47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4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68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3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7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9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7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186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421" w:type="dxa"/>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86"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医疗机构HIV初筛阳性样本确证检测率</w:t>
            </w: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15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艾滋病高危人群HIV筛查人次数</w:t>
            </w: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125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艾滋病自愿咨询检测人次数</w:t>
            </w: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9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抗病毒治疗比例</w:t>
            </w: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125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存活病人病载、CD4随访检测率</w:t>
            </w: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9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艾滋病报告质量</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9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艾滋病随访检测比例</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9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单阳配偶检测比例</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9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抗病毒治疗成功率</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668"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按计划执行</w:t>
            </w:r>
          </w:p>
        </w:tc>
        <w:tc>
          <w:tcPr>
            <w:tcW w:w="59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3683"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社会效益指标</w:t>
            </w:r>
          </w:p>
        </w:tc>
        <w:tc>
          <w:tcPr>
            <w:tcW w:w="686"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艾滋病病死率进一步下降，存活的HIV感染者和病人生活质量进一步提高，维护社会稳定</w:t>
            </w: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722"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2772"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可持续影响指标</w:t>
            </w:r>
          </w:p>
        </w:tc>
        <w:tc>
          <w:tcPr>
            <w:tcW w:w="686"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遏制艾滋病疫情上升势头，普通人群HIV感染率保持在较低水平</w:t>
            </w: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155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4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42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686"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9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08"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90%</w:t>
            </w:r>
          </w:p>
        </w:tc>
        <w:tc>
          <w:tcPr>
            <w:tcW w:w="722"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6"/>
          <w:wAfter w:w="5287" w:type="dxa"/>
          <w:trHeight w:val="978" w:hRule="atLeast"/>
        </w:trPr>
        <w:tc>
          <w:tcPr>
            <w:tcW w:w="192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202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5084" w:type="dxa"/>
            <w:gridSpan w:val="3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371" w:hRule="atLeast"/>
        </w:trPr>
        <w:tc>
          <w:tcPr>
            <w:tcW w:w="5084" w:type="dxa"/>
            <w:gridSpan w:val="31"/>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371" w:hRule="atLeast"/>
        </w:trPr>
        <w:tc>
          <w:tcPr>
            <w:tcW w:w="5084" w:type="dxa"/>
            <w:gridSpan w:val="31"/>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9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45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慢病、传染病、免疫规划、地方病防治项目</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1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9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145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186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55" w:hRule="atLeast"/>
        </w:trPr>
        <w:tc>
          <w:tcPr>
            <w:tcW w:w="9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145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黄石市卫健委</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186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9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145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1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415" w:hRule="atLeast"/>
        </w:trPr>
        <w:tc>
          <w:tcPr>
            <w:tcW w:w="9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4095"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一、慢病：1.全市死因监测粗死亡率超过6‰，人均期望寿命及重大慢病过早死亡率达到健康湖北考核目标。</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2.规范肿瘤登记、心脑血管事件报告，推进慢阻肺报告。肿瘤死亡发病比在0.55-0.85之间，肿瘤病理诊断率≥66%，心脑血管事件发病率＞200/10万。</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3.实施全民健康生活方式，组织各县区开展全民健康生活方式月宣传活动。</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4.规范全市老年人、高血压、糖尿病健康管理。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5、协助黄石港区开展慢病示范区建设。                                   二、传染病：1、完成各类传染病监测，掌握我市病原动态。2、调查各类相关传染病病例，防控各种传染病疫情进一步扩散。3、加强输入性传染病的防控防止本地传播扩散。                                        三、地方病： 1、居民合格碘盐食用率保持在95%以上，碘盐覆盖率达100%。2、8-10岁学生甲状腺肿大率小于5%。3、改水降氟工程水氟含量达到国家生活饮用水标准。                                              四、免疫规划：国家免疫规划疫苗接种率≥90%；入托入学新生预防接种证查验率≥95%；疑似预防接种异常反应规范处置率≥90%"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0"/>
          <w:wAfter w:w="4156" w:type="dxa"/>
          <w:trHeight w:val="417" w:hRule="atLeast"/>
        </w:trPr>
        <w:tc>
          <w:tcPr>
            <w:tcW w:w="3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60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55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90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73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905"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2022年实际实现值</w:t>
            </w: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预期2023年实现值</w:t>
            </w:r>
          </w:p>
        </w:tc>
        <w:tc>
          <w:tcPr>
            <w:tcW w:w="905"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55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死因监测粗死亡率</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486"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肿瘤监测</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5000人</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心脑血管事件报告</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8000人</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47"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慢阻肺监测</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5000人</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AFP监测、报告、采样</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预防接种工作督导</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每季度1次</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预防接种资质培训</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47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碘盐监测</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1200份</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47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尿碘监测</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600份</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碘缺乏病情监测“B”超法</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400人</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传染病监测完成率</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人均期望寿命</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达到健康湖北考核标准</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重大慢病过早死亡率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达到健康湖北考核标准</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86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组织各县区开展全民健康生活方式行动月宣传活动</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86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肿瘤监测</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肿瘤死亡发病比在0.55-0.85之间，肿瘤病理诊断率≥66%</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心脑血管事件报告</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发病率＞200/10万</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老年人健康管理率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达到市级标准</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254"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高血压糖尿病患者规范管理率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达到市级标准</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食用碘盐全格率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95%以上</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免疫规划疫苗接种率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疫苗规范采购率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食用碘盐全格率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95%以上</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地方病防治知识人群知晓率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90%以上</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传染病调查处置率</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2772"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掌握我市居民死亡水平、人均期望寿命、重大慢病过早死亡率、死亡构成及动态变化趋势</w:t>
            </w:r>
          </w:p>
        </w:tc>
        <w:tc>
          <w:tcPr>
            <w:tcW w:w="7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实时监测</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86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掌握我市肿瘤、心脑血管事件、慢阻肺发病与死亡谱。</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实时监测</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24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掌握我市主要慢性病的患病情况、分布特点和变化趋势及慢病主要危险因素</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实时监测</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新生儿5日及时建档率</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新生儿档案5日审核率</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55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经济效益指标</w:t>
            </w: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减少慢病医疗负担</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少于往年同期医疗支出</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2165"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降低相关疾病直接负担（减少可预防针对疾病诊断、治疗、康复费用）。</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少于往年同期医疗支出</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86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降低相关疾病间接负担（陪护、劳动力损失、相关社会负担）。</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少于往年同期医疗支出</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86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社会效益指标</w:t>
            </w: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提高居民慢病防控核心信息知晓率，增加防控意识</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提高黄石市居民期望寿命</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254"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降低黄石市重大慢病过早死亡率</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86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降低相关疾病流行和暴发，适应小康社会建设需要。</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254"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保护儿童身心健康，维护社会和谐发展。</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实时监测</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429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监测掌握本地病原动态，针对性及时有效控制疫情、防止疫情扩散，保障人民生命和财产安全，维护社会稳定。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实时监测</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861"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环境效益指标</w:t>
            </w: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逐年接近辖区居民普遍少得病、晚得病、得小病的目标</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减少疫苗针对性传染病流行</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6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加强医院院感管理</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557"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可持续影响指标</w:t>
            </w: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降低慢病发病率和死亡率，提高居民健康水平</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950"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提高居民参与健康管理意识</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2468"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提高儿童免疫规划疫苗接种率，降低相关疾病的儿童致病、致残、致死率。</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557"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52" w:type="dxa"/>
            <w:gridSpan w:val="5"/>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促进卫生计生事业发展，提高我国的国际声誉。</w:t>
            </w: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w:t>
            </w: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1557" w:hRule="atLeast"/>
        </w:trPr>
        <w:tc>
          <w:tcPr>
            <w:tcW w:w="3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6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552"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901"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79"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8"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05"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0"/>
          <w:wAfter w:w="4156" w:type="dxa"/>
          <w:trHeight w:val="874" w:hRule="atLeast"/>
        </w:trPr>
        <w:tc>
          <w:tcPr>
            <w:tcW w:w="2442"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264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68" w:hRule="atLeast"/>
        </w:trPr>
        <w:tc>
          <w:tcPr>
            <w:tcW w:w="6683" w:type="dxa"/>
            <w:gridSpan w:val="3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371" w:hRule="atLeast"/>
        </w:trPr>
        <w:tc>
          <w:tcPr>
            <w:tcW w:w="6683" w:type="dxa"/>
            <w:gridSpan w:val="36"/>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371" w:hRule="atLeast"/>
        </w:trPr>
        <w:tc>
          <w:tcPr>
            <w:tcW w:w="6683" w:type="dxa"/>
            <w:gridSpan w:val="36"/>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68" w:hRule="atLeast"/>
        </w:trPr>
        <w:tc>
          <w:tcPr>
            <w:tcW w:w="12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94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城镇居民生活饮用水日常监测项目</w:t>
            </w:r>
          </w:p>
        </w:tc>
        <w:tc>
          <w:tcPr>
            <w:tcW w:w="10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44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68" w:hRule="atLeast"/>
        </w:trPr>
        <w:tc>
          <w:tcPr>
            <w:tcW w:w="12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194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140万</w:t>
            </w:r>
          </w:p>
        </w:tc>
        <w:tc>
          <w:tcPr>
            <w:tcW w:w="10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445"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564" w:hRule="atLeast"/>
        </w:trPr>
        <w:tc>
          <w:tcPr>
            <w:tcW w:w="12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194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黄石市卫健委</w:t>
            </w:r>
          </w:p>
        </w:tc>
        <w:tc>
          <w:tcPr>
            <w:tcW w:w="10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445"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68" w:hRule="atLeast"/>
        </w:trPr>
        <w:tc>
          <w:tcPr>
            <w:tcW w:w="12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194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0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44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77" w:hRule="atLeast"/>
        </w:trPr>
        <w:tc>
          <w:tcPr>
            <w:tcW w:w="12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5450"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完成2024年全年每日水质监测工作，排除因维修、保管等无法采样情况后，全年完成日监测水样1800份。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448" w:hRule="atLeast"/>
        </w:trPr>
        <w:tc>
          <w:tcPr>
            <w:tcW w:w="43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8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4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20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29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21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68"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4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0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21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55"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41"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2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完成日监测水样</w:t>
            </w:r>
          </w:p>
        </w:tc>
        <w:tc>
          <w:tcPr>
            <w:tcW w:w="106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1800份</w:t>
            </w:r>
          </w:p>
        </w:tc>
        <w:tc>
          <w:tcPr>
            <w:tcW w:w="12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55"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41"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2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水质检测完成率</w:t>
            </w:r>
          </w:p>
        </w:tc>
        <w:tc>
          <w:tcPr>
            <w:tcW w:w="10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100%</w:t>
            </w:r>
          </w:p>
        </w:tc>
        <w:tc>
          <w:tcPr>
            <w:tcW w:w="12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677"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41"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2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按时完成水质检测及报告</w:t>
            </w:r>
          </w:p>
        </w:tc>
        <w:tc>
          <w:tcPr>
            <w:tcW w:w="106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12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950"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7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202"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及时发现饮用水安全隐患，进行风险预警</w:t>
            </w:r>
          </w:p>
        </w:tc>
        <w:tc>
          <w:tcPr>
            <w:tcW w:w="106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1214"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712"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202"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掌握我市生活饮用水现状</w:t>
            </w:r>
          </w:p>
        </w:tc>
        <w:tc>
          <w:tcPr>
            <w:tcW w:w="106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1214"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1254"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202"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为防控饮用水卫生安全事故发生提供基础数据</w:t>
            </w:r>
          </w:p>
        </w:tc>
        <w:tc>
          <w:tcPr>
            <w:tcW w:w="106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1214"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950"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7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202"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为我市生活饮用水卫生保障提供监测依据</w:t>
            </w:r>
          </w:p>
        </w:tc>
        <w:tc>
          <w:tcPr>
            <w:tcW w:w="106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12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950"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41"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202"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06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31"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p>
        </w:tc>
        <w:tc>
          <w:tcPr>
            <w:tcW w:w="1214"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2557" w:type="dxa"/>
          <w:trHeight w:val="1164" w:hRule="atLeast"/>
        </w:trPr>
        <w:tc>
          <w:tcPr>
            <w:tcW w:w="3176"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3507"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68" w:hRule="atLeast"/>
        </w:trPr>
        <w:tc>
          <w:tcPr>
            <w:tcW w:w="7961" w:type="dxa"/>
            <w:gridSpan w:val="39"/>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371" w:hRule="atLeast"/>
        </w:trPr>
        <w:tc>
          <w:tcPr>
            <w:tcW w:w="7961" w:type="dxa"/>
            <w:gridSpan w:val="39"/>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371" w:hRule="atLeast"/>
        </w:trPr>
        <w:tc>
          <w:tcPr>
            <w:tcW w:w="7961" w:type="dxa"/>
            <w:gridSpan w:val="39"/>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549" w:hRule="atLeast"/>
        </w:trPr>
        <w:tc>
          <w:tcPr>
            <w:tcW w:w="13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35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安全生产监管专项</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9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68" w:hRule="atLeast"/>
        </w:trPr>
        <w:tc>
          <w:tcPr>
            <w:tcW w:w="13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35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5万</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96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47" w:hRule="atLeast"/>
        </w:trPr>
        <w:tc>
          <w:tcPr>
            <w:tcW w:w="13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35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963"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黄石市卫生健康委员会综合监督执法局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55" w:hRule="atLeast"/>
        </w:trPr>
        <w:tc>
          <w:tcPr>
            <w:tcW w:w="13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35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15"/>
                <w:lang w:val="en-US" w:eastAsia="zh-CN" w:bidi="ar"/>
              </w:rPr>
              <w:t xml:space="preserve">    新增性项目口</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9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762" w:hRule="atLeast"/>
        </w:trPr>
        <w:tc>
          <w:tcPr>
            <w:tcW w:w="138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6574" w:type="dxa"/>
            <w:gridSpan w:val="2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各项工作有序推进，企业职业病防治主体责任有效落实，职工职业健康权益得到有效保障，用人单位违法行为得到处理，各类投诉举报得到及时有效处置。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424" w:hRule="atLeast"/>
        </w:trPr>
        <w:tc>
          <w:tcPr>
            <w:tcW w:w="42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96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89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459"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74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4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55"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9"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4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4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68"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891" w:type="dxa"/>
            <w:gridSpan w:val="6"/>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45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组织用人单位培训次数</w:t>
            </w:r>
          </w:p>
        </w:tc>
        <w:tc>
          <w:tcPr>
            <w:tcW w:w="1261"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1次</w:t>
            </w:r>
          </w:p>
        </w:tc>
        <w:tc>
          <w:tcPr>
            <w:tcW w:w="1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414"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督导企业数</w:t>
            </w:r>
          </w:p>
        </w:tc>
        <w:tc>
          <w:tcPr>
            <w:tcW w:w="1261"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不少于200家</w:t>
            </w:r>
          </w:p>
        </w:tc>
        <w:tc>
          <w:tcPr>
            <w:tcW w:w="1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68"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4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职责范围内用人单位检查覆盖率</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w:t>
            </w:r>
          </w:p>
        </w:tc>
        <w:tc>
          <w:tcPr>
            <w:tcW w:w="1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452"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违法案件处理率</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407"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投诉举报处置率</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521"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4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2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414"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45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预算控制率</w:t>
            </w:r>
          </w:p>
        </w:tc>
        <w:tc>
          <w:tcPr>
            <w:tcW w:w="1261"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68"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89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经济效益指标</w:t>
            </w:r>
          </w:p>
        </w:tc>
        <w:tc>
          <w:tcPr>
            <w:tcW w:w="1459" w:type="dxa"/>
            <w:gridSpan w:val="8"/>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61"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6"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950"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社会效益指标</w:t>
            </w:r>
          </w:p>
        </w:tc>
        <w:tc>
          <w:tcPr>
            <w:tcW w:w="145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用人单位职业病防治主体责任有效落实</w:t>
            </w:r>
          </w:p>
        </w:tc>
        <w:tc>
          <w:tcPr>
            <w:tcW w:w="1261"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76"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668"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91"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145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用人单位职工职业健康权益有效保障</w:t>
            </w:r>
          </w:p>
        </w:tc>
        <w:tc>
          <w:tcPr>
            <w:tcW w:w="1261"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76"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950" w:hRule="atLeast"/>
        </w:trPr>
        <w:tc>
          <w:tcPr>
            <w:tcW w:w="42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9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891"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45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261"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87" w:type="dxa"/>
            <w:gridSpan w:val="5"/>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476"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1279" w:type="dxa"/>
          <w:trHeight w:val="1213" w:hRule="atLeast"/>
        </w:trPr>
        <w:tc>
          <w:tcPr>
            <w:tcW w:w="3737"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224"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9240" w:type="dxa"/>
            <w:gridSpan w:val="41"/>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9240" w:type="dxa"/>
            <w:gridSpan w:val="41"/>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2" w:hRule="atLeast"/>
        </w:trPr>
        <w:tc>
          <w:tcPr>
            <w:tcW w:w="9240" w:type="dxa"/>
            <w:gridSpan w:val="41"/>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4" w:hRule="atLeast"/>
        </w:trPr>
        <w:tc>
          <w:tcPr>
            <w:tcW w:w="156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5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卫生健康监督执法培训</w:t>
            </w:r>
          </w:p>
        </w:tc>
        <w:tc>
          <w:tcPr>
            <w:tcW w:w="14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4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156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75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c>
          <w:tcPr>
            <w:tcW w:w="14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452"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4" w:hRule="atLeast"/>
        </w:trPr>
        <w:tc>
          <w:tcPr>
            <w:tcW w:w="156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75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4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52"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黄石市卫生健康委员会综合监督执法局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4" w:hRule="atLeast"/>
        </w:trPr>
        <w:tc>
          <w:tcPr>
            <w:tcW w:w="156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75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持续性项目■   新增性项目口 </w:t>
            </w:r>
          </w:p>
        </w:tc>
        <w:tc>
          <w:tcPr>
            <w:tcW w:w="14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4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56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677"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卫生监督人员要强化政策法规的学习，更新卫生监督知识，提高执法能力和执法水平。提升卫生监督人员法律法规基础知识、卫生监督基本专业技能和信息报告能力。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trPr>
        <w:tc>
          <w:tcPr>
            <w:tcW w:w="43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133"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044"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709"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21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7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8"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9"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7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7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044"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70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培训次数</w:t>
            </w: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≥1次</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0"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卫生监督人员培训率</w:t>
            </w:r>
          </w:p>
        </w:tc>
        <w:tc>
          <w:tcPr>
            <w:tcW w:w="14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70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4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2024年度</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预算完成率</w:t>
            </w: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0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709" w:type="dxa"/>
            <w:gridSpan w:val="8"/>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9" w:type="dxa"/>
            <w:gridSpan w:val="3"/>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70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提高基层群众健康知识和卫生健康法律政策知晓率</w:t>
            </w: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保障广大群众公共卫生安全</w:t>
            </w: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709" w:type="dxa"/>
            <w:gridSpan w:val="8"/>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9" w:type="dxa"/>
            <w:gridSpan w:val="3"/>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1"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709" w:type="dxa"/>
            <w:gridSpan w:val="8"/>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5" w:hRule="atLeast"/>
        </w:trPr>
        <w:tc>
          <w:tcPr>
            <w:tcW w:w="43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1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044" w:type="dxa"/>
            <w:gridSpan w:val="7"/>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709" w:type="dxa"/>
            <w:gridSpan w:val="8"/>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472" w:type="dxa"/>
            <w:gridSpan w:val="6"/>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3"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709" w:type="dxa"/>
            <w:gridSpan w:val="3"/>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5" w:hRule="atLeast"/>
        </w:trPr>
        <w:tc>
          <w:tcPr>
            <w:tcW w:w="4316" w:type="dxa"/>
            <w:gridSpan w:val="2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92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5"/>
        <w:gridCol w:w="1072"/>
        <w:gridCol w:w="967"/>
        <w:gridCol w:w="1580"/>
        <w:gridCol w:w="1376"/>
        <w:gridCol w:w="1636"/>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6" w:hRule="atLeast"/>
        </w:trPr>
        <w:tc>
          <w:tcPr>
            <w:tcW w:w="86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trPr>
        <w:tc>
          <w:tcPr>
            <w:tcW w:w="86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trPr>
        <w:tc>
          <w:tcPr>
            <w:tcW w:w="860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卫生监督快检设备运行维护及委托业务经费</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5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20万</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5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黄石市卫生健康委员会综合监督执法局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54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2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6" w:hRule="atLeast"/>
        </w:trPr>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确保职业病、生活饮用水、公共场所、学校卫生等专业配套现场快检设备的正常使用和维护，着力提升依法履职能力和执法办案水平，全面提升全市卫生监督综合监管能力。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8" w:hRule="atLeast"/>
        </w:trPr>
        <w:tc>
          <w:tcPr>
            <w:tcW w:w="36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7"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7"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6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执法督导检查设备</w:t>
            </w:r>
          </w:p>
        </w:tc>
        <w:tc>
          <w:tcPr>
            <w:tcW w:w="137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≥110种</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2"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精准执法率</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≥90%</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执法覆盖率</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≥95%</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9"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3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2"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提升依法履职能力和执法办案水平。</w:t>
            </w:r>
          </w:p>
        </w:tc>
        <w:tc>
          <w:tcPr>
            <w:tcW w:w="137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0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6"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5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创造公共卫生安全环境</w:t>
            </w:r>
          </w:p>
        </w:tc>
        <w:tc>
          <w:tcPr>
            <w:tcW w:w="137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60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6"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全面提升卫生监督综合监管能力和水平。</w:t>
            </w:r>
          </w:p>
        </w:tc>
        <w:tc>
          <w:tcPr>
            <w:tcW w:w="137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6"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6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7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04"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7" w:hRule="atLeast"/>
        </w:trPr>
        <w:tc>
          <w:tcPr>
            <w:tcW w:w="3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5"/>
        <w:gridCol w:w="1068"/>
        <w:gridCol w:w="969"/>
        <w:gridCol w:w="1556"/>
        <w:gridCol w:w="1371"/>
        <w:gridCol w:w="1630"/>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trPr>
        <w:tc>
          <w:tcPr>
            <w:tcW w:w="85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85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1" w:hRule="atLeast"/>
        </w:trPr>
        <w:tc>
          <w:tcPr>
            <w:tcW w:w="856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卫生监督监测技术服务</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7" w:hRule="atLeast"/>
        </w:trPr>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5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5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黄石市卫生健康委员会综合监督执法局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52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6" w:hRule="atLeast"/>
        </w:trPr>
        <w:tc>
          <w:tcPr>
            <w:tcW w:w="14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1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认真履行卫生监督及监测工作职责，确保卫生监督和监测覆盖率达到100%，保障公共卫生安全。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8" w:hRule="atLeast"/>
        </w:trPr>
        <w:tc>
          <w:tcPr>
            <w:tcW w:w="36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0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4"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8"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各项监督检测次数</w:t>
            </w:r>
          </w:p>
        </w:tc>
        <w:tc>
          <w:tcPr>
            <w:tcW w:w="13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≥1次</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80"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监测覆盖率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3"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预算完成率</w:t>
            </w:r>
          </w:p>
        </w:tc>
        <w:tc>
          <w:tcPr>
            <w:tcW w:w="13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7"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经济效益指标</w:t>
            </w:r>
          </w:p>
        </w:tc>
        <w:tc>
          <w:tcPr>
            <w:tcW w:w="155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6"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社会效益指标</w:t>
            </w:r>
          </w:p>
        </w:tc>
        <w:tc>
          <w:tcPr>
            <w:tcW w:w="15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保障人民群众的饮水卫生安全</w:t>
            </w:r>
          </w:p>
        </w:tc>
        <w:tc>
          <w:tcPr>
            <w:tcW w:w="13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w:t>
            </w:r>
          </w:p>
        </w:tc>
        <w:tc>
          <w:tcPr>
            <w:tcW w:w="16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7"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环境效益指标</w:t>
            </w:r>
          </w:p>
        </w:tc>
        <w:tc>
          <w:tcPr>
            <w:tcW w:w="155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6"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可持续影响指标</w:t>
            </w:r>
          </w:p>
        </w:tc>
        <w:tc>
          <w:tcPr>
            <w:tcW w:w="155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1" w:hRule="atLeast"/>
        </w:trPr>
        <w:tc>
          <w:tcPr>
            <w:tcW w:w="3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3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6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51" w:hRule="atLeast"/>
        </w:trPr>
        <w:tc>
          <w:tcPr>
            <w:tcW w:w="39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6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1"/>
        <w:gridCol w:w="1085"/>
        <w:gridCol w:w="980"/>
        <w:gridCol w:w="1599"/>
        <w:gridCol w:w="1393"/>
        <w:gridCol w:w="1647"/>
        <w:gridCol w:w="1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5" w:hRule="atLeast"/>
        </w:trPr>
        <w:tc>
          <w:tcPr>
            <w:tcW w:w="87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 w:hRule="atLeast"/>
        </w:trPr>
        <w:tc>
          <w:tcPr>
            <w:tcW w:w="87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3" w:hRule="atLeast"/>
        </w:trPr>
        <w:tc>
          <w:tcPr>
            <w:tcW w:w="870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卫生督导专项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40万</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黄石市卫生健康委员会综合监督执法局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trPr>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8" w:hRule="atLeast"/>
        </w:trPr>
        <w:tc>
          <w:tcPr>
            <w:tcW w:w="14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24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保障医疗卫生、职业卫生、传染病防治、饮用水、公共场所卫生等各项卫生监督重点工作正常开展。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3" w:hRule="atLeast"/>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3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4"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医疗机构年均执法检查数</w:t>
            </w:r>
          </w:p>
        </w:tc>
        <w:tc>
          <w:tcPr>
            <w:tcW w:w="139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5次/年</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饮用水监测点检查次数</w:t>
            </w:r>
          </w:p>
        </w:tc>
        <w:tc>
          <w:tcPr>
            <w:tcW w:w="139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每天</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7"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公共场所监督次数</w:t>
            </w:r>
          </w:p>
        </w:tc>
        <w:tc>
          <w:tcPr>
            <w:tcW w:w="139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1次/月</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7"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医疗卫生机构监督覆盖率</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传染病防治监督覆盖率</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2"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公共场所监督覆盖率</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5"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2024年度</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restart"/>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提升我市卫生安全工作</w:t>
            </w:r>
          </w:p>
        </w:tc>
        <w:tc>
          <w:tcPr>
            <w:tcW w:w="139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7"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推进我市创建全国文明城市等工作。</w:t>
            </w:r>
          </w:p>
        </w:tc>
        <w:tc>
          <w:tcPr>
            <w:tcW w:w="139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 w:hRule="atLeast"/>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9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9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95%</w:t>
            </w:r>
          </w:p>
        </w:tc>
        <w:tc>
          <w:tcPr>
            <w:tcW w:w="16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6"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8"/>
        <w:gridCol w:w="1050"/>
        <w:gridCol w:w="947"/>
        <w:gridCol w:w="1547"/>
        <w:gridCol w:w="1346"/>
        <w:gridCol w:w="1601"/>
        <w:gridCol w:w="1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0" w:hRule="atLeast"/>
        </w:trPr>
        <w:tc>
          <w:tcPr>
            <w:tcW w:w="84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42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5" w:hRule="atLeast"/>
        </w:trPr>
        <w:tc>
          <w:tcPr>
            <w:tcW w:w="842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6" w:hRule="atLeast"/>
        </w:trPr>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用人单位主要负责人和职业卫生管理人员职业卫生培训</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6" w:hRule="atLeast"/>
        </w:trPr>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1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0" w:hRule="atLeast"/>
        </w:trPr>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1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黄石市卫生健康委员会综合监督执法局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trPr>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49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7" w:hRule="atLeast"/>
        </w:trPr>
        <w:tc>
          <w:tcPr>
            <w:tcW w:w="1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0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用人单位职业病防治主体责任有效落实，用人单位的职业病危害检测率、劳动者职业健康检查及培训率、职业病危害项目申报率得到有效提高。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rPr>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2"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1"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4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培训企业数</w:t>
            </w: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100</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6"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职业卫生管理人员职业卫生培训</w:t>
            </w: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9"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用人单位职业病危害因素检测、评价率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6"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用人单位劳动者职业健康检查率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6"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用人单位职业病危害项目申报率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用人单位劳动者职业卫生培训率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1"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工作期限</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4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用人单位职业病防治主体责任有效落实</w:t>
            </w: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w:t>
            </w:r>
          </w:p>
        </w:tc>
        <w:tc>
          <w:tcPr>
            <w:tcW w:w="15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6"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用人单位职工职业健康权益有效保障</w:t>
            </w: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w:t>
            </w:r>
          </w:p>
        </w:tc>
        <w:tc>
          <w:tcPr>
            <w:tcW w:w="15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环境效益指标</w:t>
            </w:r>
          </w:p>
        </w:tc>
        <w:tc>
          <w:tcPr>
            <w:tcW w:w="154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54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trPr>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4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134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0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571"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7" w:hRule="atLeast"/>
        </w:trPr>
        <w:tc>
          <w:tcPr>
            <w:tcW w:w="39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894"/>
        <w:gridCol w:w="937"/>
        <w:gridCol w:w="2070"/>
        <w:gridCol w:w="1301"/>
        <w:gridCol w:w="1316"/>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5" w:hRule="atLeast"/>
        </w:trPr>
        <w:tc>
          <w:tcPr>
            <w:tcW w:w="81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 w:hRule="atLeast"/>
        </w:trPr>
        <w:tc>
          <w:tcPr>
            <w:tcW w:w="816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 w:hRule="atLeast"/>
        </w:trPr>
        <w:tc>
          <w:tcPr>
            <w:tcW w:w="816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1"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市级财政血液核酸检测专项经费25万</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1"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黄石市中心血站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12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69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全年核酸检测血液标本16000人份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2"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894"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2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2"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2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2"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9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血液核酸检测试剂及耗材</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29.5元╱人份</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vMerge w:val="restar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全年完成血液检测标本</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1.6万人份</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2"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vMerge w:val="continue"/>
            <w:tcBorders>
              <w:top w:val="single" w:color="000000" w:sz="4" w:space="0"/>
              <w:lef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通过国家及省临检中心实验室室间质评抽样检测</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优秀</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vMerge w:val="continue"/>
            <w:tcBorders>
              <w:top w:val="single" w:color="000000" w:sz="4" w:space="0"/>
              <w:lef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全年完成血液核酸检测标本16000人份</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2024年全年</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vMerge w:val="restart"/>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color w:val="000000"/>
                <w:sz w:val="22"/>
                <w:szCs w:val="22"/>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8"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vMerge w:val="continue"/>
            <w:tcBorders>
              <w:top w:val="single" w:color="000000" w:sz="4" w:space="0"/>
              <w:lef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防止艾滋病、乙肝等输血传染病通过输血途径传播，保障临床输血患者安全。</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无发生</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vMerge w:val="continue"/>
            <w:tcBorders>
              <w:top w:val="single" w:color="000000" w:sz="4" w:space="0"/>
              <w:lef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持续降低通过输血途径传播艾滋病、乙肝等传染疾病的发生。</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89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保障临床输血患者安全，降低因输血途径感染艾滋病等疾病风险。</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2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13" w:hRule="atLeast"/>
        </w:trPr>
        <w:tc>
          <w:tcPr>
            <w:tcW w:w="42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2"/>
        <w:gridCol w:w="1059"/>
        <w:gridCol w:w="957"/>
        <w:gridCol w:w="1562"/>
        <w:gridCol w:w="1360"/>
        <w:gridCol w:w="1612"/>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6" w:hRule="atLeast"/>
        </w:trPr>
        <w:tc>
          <w:tcPr>
            <w:tcW w:w="85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 w:hRule="atLeast"/>
        </w:trPr>
        <w:tc>
          <w:tcPr>
            <w:tcW w:w="850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 w:hRule="atLeast"/>
        </w:trPr>
        <w:tc>
          <w:tcPr>
            <w:tcW w:w="850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 w:hRule="atLeast"/>
        </w:trPr>
        <w:tc>
          <w:tcPr>
            <w:tcW w:w="1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结核病防治专项</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3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 w:hRule="atLeast"/>
        </w:trPr>
        <w:tc>
          <w:tcPr>
            <w:tcW w:w="1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25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32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 w:hRule="atLeast"/>
        </w:trPr>
        <w:tc>
          <w:tcPr>
            <w:tcW w:w="1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25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黄石市卫生健康委员会</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2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黄石市结核病防治院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 w:hRule="atLeast"/>
        </w:trPr>
        <w:tc>
          <w:tcPr>
            <w:tcW w:w="1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251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w:t>
            </w:r>
            <w:r>
              <w:rPr>
                <w:rStyle w:val="16"/>
                <w:lang w:val="en-US" w:eastAsia="zh-CN" w:bidi="ar"/>
              </w:rPr>
              <w:t xml:space="preserve">    新增性项目口</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3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7" w:hRule="atLeast"/>
        </w:trPr>
        <w:tc>
          <w:tcPr>
            <w:tcW w:w="14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    （文字）</w:t>
            </w:r>
          </w:p>
        </w:tc>
        <w:tc>
          <w:tcPr>
            <w:tcW w:w="70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全市登记和免费检查疑似肺结核患者任务数7720例；2、全市发现和治疗活动性肺结核患1252例；3、活动性肺结核病患者治疗成功率达到90%以上，初治涂阳结核病患者治愈率达到85%以上；4、报告肺结核患者和疑似肺结核患者的总体到位率达到95%以上；5、跨区域流动的肺结核患者信息反馈率达到90%，流动人口肺结核患者的治疗管理率达到80%；6、菌阳肺结核患者密切接触者筛查率达到95%;7、艾滋病病毒感染者结核病的筛查率达到90%；8、耐多药可疑者耐药检测筛查率达到95%；9、开展耐多药病人诊治工作覆盖率达到100%以上；10、新确诊的痰阴肺结核病患者痰培养率达到80%以上；11、复治涂阳患者痰培养率达到90%以上；12、初诊疑似患者痰涂片检查率达到90%以上。13、全年对所辖大冶市、阳新县督导检查至少4次；14、3.24世界防治结核病日开展全市大型宣传活动，日常在宣传媒体、综合医疗机构、基层医疗机构、公共场所开展常规宣传；15、开展学校、监狱劳教系统等重点场所结核病防治工作，进行入学体检、入监体检和日常常规监测工作；16、对老年人、糖尿病患者和矿工作业者等结核病高危人群实施主动筛查；17、对耐多药、TB/HIV、流动人口结核病等“三大挑战”积极采取防治措施；18、举办全市结核病防治工作培训班至少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6" w:hRule="atLeast"/>
        </w:trPr>
        <w:tc>
          <w:tcPr>
            <w:tcW w:w="36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3"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全市登记和免费检查疑似肺结核患者任务数</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7720例</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全市发现和治疗活动性肺结核患者数</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1252例</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5"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活动性肺结核病患者治疗成功率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初治涂阳结核病患者治愈率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3"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报告肺结核患者和疑似肺结核患者的总体到位率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病原学阳性肺结核患者耐药筛查率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耐多药肺结核高危人群耐药筛查率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病原学阳性肺结核患者密切接触者筛查率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初诊患者查痰率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9"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新确诊的活动性肺结核患者痰培养率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患者规则服药率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患者规范管理率</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90%以上</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完成时间</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本年度</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9"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8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4"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1、3.24世界防治结核病日开展全市大型宣传活动，日常在宣传媒体、综合医疗机构、基层医疗机构、公共场所开展常规宣传；</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w:t>
            </w:r>
          </w:p>
        </w:tc>
        <w:tc>
          <w:tcPr>
            <w:tcW w:w="158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0"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开展学校、监狱劳教系统等重点场所结核病防治工作，进行入学体检、入监体检和日常常规监测工作；</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w:t>
            </w:r>
          </w:p>
        </w:tc>
        <w:tc>
          <w:tcPr>
            <w:tcW w:w="158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2"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对老年人、糖尿病患者和矿工作业者等结核病高危人群实施主动筛查，在全市结核病预防、治疗、控制、管理及防治规划的实施过程中起着举足轻重的作用</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效果显著</w:t>
            </w:r>
          </w:p>
        </w:tc>
        <w:tc>
          <w:tcPr>
            <w:tcW w:w="158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3" w:hRule="atLeast"/>
        </w:trPr>
        <w:tc>
          <w:tcPr>
            <w:tcW w:w="36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5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门诊和住院患者满意度</w:t>
            </w:r>
          </w:p>
        </w:tc>
        <w:tc>
          <w:tcPr>
            <w:tcW w:w="13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95%以上</w:t>
            </w:r>
          </w:p>
        </w:tc>
        <w:tc>
          <w:tcPr>
            <w:tcW w:w="1588"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rPr>
        <w:tc>
          <w:tcPr>
            <w:tcW w:w="39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4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tbl>
      <w:tblPr>
        <w:tblStyle w:val="3"/>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1086"/>
        <w:gridCol w:w="1108"/>
        <w:gridCol w:w="2302"/>
        <w:gridCol w:w="817"/>
        <w:gridCol w:w="1374"/>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2" w:hRule="atLeast"/>
        </w:trPr>
        <w:tc>
          <w:tcPr>
            <w:tcW w:w="83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项目支出绩效目标批复表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trPr>
        <w:tc>
          <w:tcPr>
            <w:tcW w:w="838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trPr>
        <w:tc>
          <w:tcPr>
            <w:tcW w:w="8380" w:type="dxa"/>
            <w:gridSpan w:val="7"/>
            <w:tcBorders>
              <w:bottom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5" w:hRule="atLeast"/>
        </w:trPr>
        <w:tc>
          <w:tcPr>
            <w:tcW w:w="1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3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黄石市120急救指挥中心应急专项</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2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80" w:hRule="atLeast"/>
        </w:trPr>
        <w:tc>
          <w:tcPr>
            <w:tcW w:w="1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项目金额</w:t>
            </w:r>
          </w:p>
        </w:tc>
        <w:tc>
          <w:tcPr>
            <w:tcW w:w="3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90万元</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其中：当年市级财政资金</w:t>
            </w:r>
          </w:p>
        </w:tc>
        <w:tc>
          <w:tcPr>
            <w:tcW w:w="2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5" w:hRule="atLeast"/>
        </w:trPr>
        <w:tc>
          <w:tcPr>
            <w:tcW w:w="1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w:t>
            </w:r>
          </w:p>
        </w:tc>
        <w:tc>
          <w:tcPr>
            <w:tcW w:w="3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黄石市急救中心</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黄石市急救中心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5" w:hRule="atLeast"/>
        </w:trPr>
        <w:tc>
          <w:tcPr>
            <w:tcW w:w="1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34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持续性项目√    新增性项目口</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w:t>
            </w:r>
          </w:p>
        </w:tc>
        <w:tc>
          <w:tcPr>
            <w:tcW w:w="2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2024年1月-12月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2" w:hRule="atLeast"/>
        </w:trPr>
        <w:tc>
          <w:tcPr>
            <w:tcW w:w="1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年度绩效目标（文字）</w:t>
            </w:r>
          </w:p>
        </w:tc>
        <w:tc>
          <w:tcPr>
            <w:tcW w:w="69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日常管理、监督考核、保证院前急救质量，具备突发事件急救援能力。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6"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2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指标标准或依据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7"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2023年实际实现值</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预期2024年实现值</w:t>
            </w:r>
          </w:p>
        </w:tc>
        <w:tc>
          <w:tcPr>
            <w:tcW w:w="1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2"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1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救治伤病人数</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≧11000人次</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派出急救车辆（次）</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≧11000车次</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电话回访率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危重患者电话指导落实率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院前急救病例书定率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危急重症现场医疗监护或抢救措施完成率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98%</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3分钟及时出车率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vMerge w:val="continue"/>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平均应急反应时间</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15分钟</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预算刚性约束，不超预算</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90万元</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项目完成及时率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2024年12月31日完成</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1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对我市医疗急救及灾害事故、突发公共卫生事件及紧急医疗救援和重大活动应急能力</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4"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0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完善健全急救管理制度，为后期本市急救提供法规保障</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1"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救助对象满意率</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r>
              <w:rPr>
                <w:rFonts w:hint="eastAsia" w:ascii="宋体" w:hAnsi="宋体" w:eastAsia="宋体" w:cs="宋体"/>
                <w:i w:val="0"/>
                <w:color w:val="000000"/>
                <w:kern w:val="0"/>
                <w:sz w:val="18"/>
                <w:szCs w:val="18"/>
                <w:u w:val="none"/>
                <w:lang w:val="en-US" w:eastAsia="zh-CN" w:bidi="ar"/>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2" w:hRule="atLeast"/>
        </w:trPr>
        <w:tc>
          <w:tcPr>
            <w:tcW w:w="4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财政资金管理科室（盖章）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财政绩效管理科室（盖章）</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w:t>
            </w:r>
          </w:p>
        </w:tc>
      </w:tr>
    </w:tbl>
    <w:p>
      <w:pPr>
        <w:pStyle w:val="6"/>
        <w:keepNext w:val="0"/>
        <w:keepLines w:val="0"/>
        <w:pageBreakBefore w:val="0"/>
        <w:widowControl w:val="0"/>
        <w:numPr>
          <w:ilvl w:val="0"/>
          <w:numId w:val="0"/>
        </w:numPr>
        <w:kinsoku/>
        <w:wordWrap/>
        <w:overflowPunct/>
        <w:topLinePunct w:val="0"/>
        <w:autoSpaceDE/>
        <w:autoSpaceDN/>
        <w:bidi w:val="0"/>
        <w:spacing w:line="460" w:lineRule="atLeast"/>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firstLine="640"/>
        <w:jc w:val="both"/>
        <w:textAlignment w:val="auto"/>
        <w:rPr>
          <w:rFonts w:hint="eastAsia" w:ascii="仿宋_GB2312" w:eastAsia="仿宋_GB2312"/>
          <w:b/>
          <w:bCs/>
          <w:color w:val="000000"/>
          <w:sz w:val="36"/>
          <w:szCs w:val="36"/>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460" w:lineRule="atLeast"/>
        <w:ind w:left="0" w:leftChars="0"/>
        <w:jc w:val="both"/>
        <w:textAlignment w:val="auto"/>
        <w:rPr>
          <w:rFonts w:hint="default" w:ascii="仿宋_GB2312" w:eastAsia="仿宋_GB2312"/>
          <w:b/>
          <w:bCs/>
          <w:color w:val="000000"/>
          <w:sz w:val="36"/>
          <w:szCs w:val="36"/>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760A8"/>
    <w:multiLevelType w:val="singleLevel"/>
    <w:tmpl w:val="212760A8"/>
    <w:lvl w:ilvl="0" w:tentative="0">
      <w:start w:val="2"/>
      <w:numFmt w:val="decimal"/>
      <w:suff w:val="nothing"/>
      <w:lvlText w:val="%1、"/>
      <w:lvlJc w:val="left"/>
    </w:lvl>
  </w:abstractNum>
  <w:abstractNum w:abstractNumId="1">
    <w:nsid w:val="73B24783"/>
    <w:multiLevelType w:val="singleLevel"/>
    <w:tmpl w:val="73B24783"/>
    <w:lvl w:ilvl="0" w:tentative="0">
      <w:start w:val="2"/>
      <w:numFmt w:val="decimal"/>
      <w:suff w:val="nothing"/>
      <w:lvlText w:val="%1、"/>
      <w:lvlJc w:val="left"/>
    </w:lvl>
  </w:abstractNum>
  <w:abstractNum w:abstractNumId="2">
    <w:nsid w:val="76AA72DF"/>
    <w:multiLevelType w:val="singleLevel"/>
    <w:tmpl w:val="76AA72DF"/>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M2E5MDljMGM0OTBlMGEwYWZiNjk3MzZkYjU2YzMifQ=="/>
  </w:docVars>
  <w:rsids>
    <w:rsidRoot w:val="34FA15B3"/>
    <w:rsid w:val="000C024B"/>
    <w:rsid w:val="000E0EEB"/>
    <w:rsid w:val="00434E6A"/>
    <w:rsid w:val="00813870"/>
    <w:rsid w:val="00C55CF3"/>
    <w:rsid w:val="0101192C"/>
    <w:rsid w:val="01381AFE"/>
    <w:rsid w:val="013A5933"/>
    <w:rsid w:val="01572697"/>
    <w:rsid w:val="01601AE1"/>
    <w:rsid w:val="018E67A5"/>
    <w:rsid w:val="01B9385C"/>
    <w:rsid w:val="01DA0B02"/>
    <w:rsid w:val="02064641"/>
    <w:rsid w:val="02242E8E"/>
    <w:rsid w:val="02371E69"/>
    <w:rsid w:val="02493090"/>
    <w:rsid w:val="02C80BBA"/>
    <w:rsid w:val="02CD601D"/>
    <w:rsid w:val="02E35179"/>
    <w:rsid w:val="02F144FA"/>
    <w:rsid w:val="038622C3"/>
    <w:rsid w:val="03905F64"/>
    <w:rsid w:val="041E7FB2"/>
    <w:rsid w:val="04504BAA"/>
    <w:rsid w:val="0471400B"/>
    <w:rsid w:val="047D330E"/>
    <w:rsid w:val="04864C3A"/>
    <w:rsid w:val="04D71BF2"/>
    <w:rsid w:val="051C72E3"/>
    <w:rsid w:val="05233E6C"/>
    <w:rsid w:val="05A143CE"/>
    <w:rsid w:val="05CF2FC7"/>
    <w:rsid w:val="05DE188C"/>
    <w:rsid w:val="063D4707"/>
    <w:rsid w:val="06986594"/>
    <w:rsid w:val="06FD1F85"/>
    <w:rsid w:val="070B10A0"/>
    <w:rsid w:val="07375BAD"/>
    <w:rsid w:val="07403656"/>
    <w:rsid w:val="074D22E3"/>
    <w:rsid w:val="0772396F"/>
    <w:rsid w:val="07D53739"/>
    <w:rsid w:val="07F972BF"/>
    <w:rsid w:val="08365FCE"/>
    <w:rsid w:val="085E58E2"/>
    <w:rsid w:val="08634DDA"/>
    <w:rsid w:val="08F46A11"/>
    <w:rsid w:val="09002099"/>
    <w:rsid w:val="092100EF"/>
    <w:rsid w:val="093107FD"/>
    <w:rsid w:val="093B57D2"/>
    <w:rsid w:val="09604D1B"/>
    <w:rsid w:val="097924AD"/>
    <w:rsid w:val="09B5523A"/>
    <w:rsid w:val="09D41DD9"/>
    <w:rsid w:val="09D81C01"/>
    <w:rsid w:val="0A04185D"/>
    <w:rsid w:val="0A5C6EE6"/>
    <w:rsid w:val="0A5F47CE"/>
    <w:rsid w:val="0AAF7387"/>
    <w:rsid w:val="0B254B5F"/>
    <w:rsid w:val="0B6952CF"/>
    <w:rsid w:val="0B7F5D75"/>
    <w:rsid w:val="0BFC0BE5"/>
    <w:rsid w:val="0C2548EB"/>
    <w:rsid w:val="0C294516"/>
    <w:rsid w:val="0C5B4D40"/>
    <w:rsid w:val="0CBE7153"/>
    <w:rsid w:val="0D1B76B6"/>
    <w:rsid w:val="0D301A6D"/>
    <w:rsid w:val="0D4B07BB"/>
    <w:rsid w:val="0DBB252E"/>
    <w:rsid w:val="0E471764"/>
    <w:rsid w:val="0E537724"/>
    <w:rsid w:val="0E941B37"/>
    <w:rsid w:val="0F05604C"/>
    <w:rsid w:val="0F0658C5"/>
    <w:rsid w:val="0F0C1EB7"/>
    <w:rsid w:val="0F870803"/>
    <w:rsid w:val="0FE057B8"/>
    <w:rsid w:val="101F063E"/>
    <w:rsid w:val="10910DE3"/>
    <w:rsid w:val="10A06986"/>
    <w:rsid w:val="10A81F64"/>
    <w:rsid w:val="10EC17B7"/>
    <w:rsid w:val="11023C19"/>
    <w:rsid w:val="112F47A9"/>
    <w:rsid w:val="11345598"/>
    <w:rsid w:val="114A2981"/>
    <w:rsid w:val="11812847"/>
    <w:rsid w:val="11852982"/>
    <w:rsid w:val="118916FB"/>
    <w:rsid w:val="124C1350"/>
    <w:rsid w:val="125E0C3D"/>
    <w:rsid w:val="12652228"/>
    <w:rsid w:val="12B85C5C"/>
    <w:rsid w:val="12CE17F6"/>
    <w:rsid w:val="13BF07FF"/>
    <w:rsid w:val="13C07028"/>
    <w:rsid w:val="141E0E93"/>
    <w:rsid w:val="148738CD"/>
    <w:rsid w:val="15062E37"/>
    <w:rsid w:val="150660B6"/>
    <w:rsid w:val="153D18EE"/>
    <w:rsid w:val="15D00A95"/>
    <w:rsid w:val="15E62E37"/>
    <w:rsid w:val="15E83826"/>
    <w:rsid w:val="160052C3"/>
    <w:rsid w:val="162D3043"/>
    <w:rsid w:val="163E24D2"/>
    <w:rsid w:val="16BF6E3B"/>
    <w:rsid w:val="16D0184C"/>
    <w:rsid w:val="17107E6D"/>
    <w:rsid w:val="172C428F"/>
    <w:rsid w:val="17740AA0"/>
    <w:rsid w:val="179C2C35"/>
    <w:rsid w:val="18104D40"/>
    <w:rsid w:val="181111FB"/>
    <w:rsid w:val="18281689"/>
    <w:rsid w:val="189D4E65"/>
    <w:rsid w:val="190D2C12"/>
    <w:rsid w:val="190D5627"/>
    <w:rsid w:val="193C6578"/>
    <w:rsid w:val="193E06B7"/>
    <w:rsid w:val="1B526827"/>
    <w:rsid w:val="1B724FAE"/>
    <w:rsid w:val="1B7F67A7"/>
    <w:rsid w:val="1BA60C03"/>
    <w:rsid w:val="1C9854C5"/>
    <w:rsid w:val="1D3B7BAB"/>
    <w:rsid w:val="1D6F5768"/>
    <w:rsid w:val="1D8071CA"/>
    <w:rsid w:val="1D881D31"/>
    <w:rsid w:val="1E40229B"/>
    <w:rsid w:val="1E9043BB"/>
    <w:rsid w:val="1EA77CED"/>
    <w:rsid w:val="1F8169C0"/>
    <w:rsid w:val="20422835"/>
    <w:rsid w:val="205C6966"/>
    <w:rsid w:val="20AE1A8D"/>
    <w:rsid w:val="20AF2801"/>
    <w:rsid w:val="20B13BBE"/>
    <w:rsid w:val="210554DB"/>
    <w:rsid w:val="21165F4F"/>
    <w:rsid w:val="2131158A"/>
    <w:rsid w:val="21876CA4"/>
    <w:rsid w:val="21AC4002"/>
    <w:rsid w:val="22704DE8"/>
    <w:rsid w:val="227671A8"/>
    <w:rsid w:val="22B943FC"/>
    <w:rsid w:val="22C30F5F"/>
    <w:rsid w:val="22EA351D"/>
    <w:rsid w:val="2308490F"/>
    <w:rsid w:val="23554AEF"/>
    <w:rsid w:val="238B2602"/>
    <w:rsid w:val="238D5611"/>
    <w:rsid w:val="23F6276A"/>
    <w:rsid w:val="241364AA"/>
    <w:rsid w:val="24283370"/>
    <w:rsid w:val="24671D84"/>
    <w:rsid w:val="24776A6E"/>
    <w:rsid w:val="24AE34FB"/>
    <w:rsid w:val="25A538CB"/>
    <w:rsid w:val="25B15E7E"/>
    <w:rsid w:val="26982842"/>
    <w:rsid w:val="26E7357D"/>
    <w:rsid w:val="26FE58E2"/>
    <w:rsid w:val="271A0203"/>
    <w:rsid w:val="271C2267"/>
    <w:rsid w:val="2722195C"/>
    <w:rsid w:val="272342DD"/>
    <w:rsid w:val="27382361"/>
    <w:rsid w:val="274F566B"/>
    <w:rsid w:val="276673E4"/>
    <w:rsid w:val="27BA21B7"/>
    <w:rsid w:val="28492552"/>
    <w:rsid w:val="284A2686"/>
    <w:rsid w:val="28591F80"/>
    <w:rsid w:val="28675185"/>
    <w:rsid w:val="287E7846"/>
    <w:rsid w:val="28EE12E9"/>
    <w:rsid w:val="29163DE7"/>
    <w:rsid w:val="2934229C"/>
    <w:rsid w:val="298011DE"/>
    <w:rsid w:val="29883A37"/>
    <w:rsid w:val="298B6B53"/>
    <w:rsid w:val="29A05DB3"/>
    <w:rsid w:val="29AC3D81"/>
    <w:rsid w:val="29B13146"/>
    <w:rsid w:val="2A4B3E10"/>
    <w:rsid w:val="2A687AD5"/>
    <w:rsid w:val="2AA46253"/>
    <w:rsid w:val="2B1C6CE5"/>
    <w:rsid w:val="2B6A4392"/>
    <w:rsid w:val="2BB127BA"/>
    <w:rsid w:val="2BE32E56"/>
    <w:rsid w:val="2BEB7F5E"/>
    <w:rsid w:val="2C025A88"/>
    <w:rsid w:val="2C3132AD"/>
    <w:rsid w:val="2C3600F7"/>
    <w:rsid w:val="2C3B7B84"/>
    <w:rsid w:val="2C4B7F8C"/>
    <w:rsid w:val="2D281BA0"/>
    <w:rsid w:val="2D734A8D"/>
    <w:rsid w:val="2D85673B"/>
    <w:rsid w:val="2D962788"/>
    <w:rsid w:val="2D9D77DC"/>
    <w:rsid w:val="2DAD0E4A"/>
    <w:rsid w:val="2DE06870"/>
    <w:rsid w:val="2DFB1885"/>
    <w:rsid w:val="2E1549E7"/>
    <w:rsid w:val="2EB0392B"/>
    <w:rsid w:val="2EBC2F2C"/>
    <w:rsid w:val="2F02518F"/>
    <w:rsid w:val="2F4337C4"/>
    <w:rsid w:val="2F7644D8"/>
    <w:rsid w:val="2FAD0A26"/>
    <w:rsid w:val="2FCB283C"/>
    <w:rsid w:val="300A0AB7"/>
    <w:rsid w:val="301023DC"/>
    <w:rsid w:val="304F119F"/>
    <w:rsid w:val="30F235D8"/>
    <w:rsid w:val="30F47322"/>
    <w:rsid w:val="30F73B34"/>
    <w:rsid w:val="31622F41"/>
    <w:rsid w:val="319C1705"/>
    <w:rsid w:val="31A717FE"/>
    <w:rsid w:val="31BC2BBE"/>
    <w:rsid w:val="31C268FC"/>
    <w:rsid w:val="31F9231A"/>
    <w:rsid w:val="320F21DB"/>
    <w:rsid w:val="321B424B"/>
    <w:rsid w:val="32355B8A"/>
    <w:rsid w:val="32D54349"/>
    <w:rsid w:val="32E95C72"/>
    <w:rsid w:val="32EB3B6C"/>
    <w:rsid w:val="3399212F"/>
    <w:rsid w:val="33B379D5"/>
    <w:rsid w:val="342866FA"/>
    <w:rsid w:val="34302A6E"/>
    <w:rsid w:val="345474EF"/>
    <w:rsid w:val="34D1503A"/>
    <w:rsid w:val="34DA5511"/>
    <w:rsid w:val="34E86309"/>
    <w:rsid w:val="34FA15B3"/>
    <w:rsid w:val="357A422A"/>
    <w:rsid w:val="358C2629"/>
    <w:rsid w:val="35BE5626"/>
    <w:rsid w:val="35C03638"/>
    <w:rsid w:val="36AC53B7"/>
    <w:rsid w:val="36CD5139"/>
    <w:rsid w:val="36DA644C"/>
    <w:rsid w:val="36EF636B"/>
    <w:rsid w:val="36F95570"/>
    <w:rsid w:val="37447F4A"/>
    <w:rsid w:val="37D6480E"/>
    <w:rsid w:val="37E62267"/>
    <w:rsid w:val="381A7AD7"/>
    <w:rsid w:val="38373562"/>
    <w:rsid w:val="38535ADB"/>
    <w:rsid w:val="38A03443"/>
    <w:rsid w:val="38F66E93"/>
    <w:rsid w:val="392918CB"/>
    <w:rsid w:val="39605264"/>
    <w:rsid w:val="39766A1D"/>
    <w:rsid w:val="3A070AC5"/>
    <w:rsid w:val="3A5E052E"/>
    <w:rsid w:val="3A6B7A42"/>
    <w:rsid w:val="3AE65D28"/>
    <w:rsid w:val="3B267ED4"/>
    <w:rsid w:val="3B3140E6"/>
    <w:rsid w:val="3B514788"/>
    <w:rsid w:val="3B936C25"/>
    <w:rsid w:val="3BC63127"/>
    <w:rsid w:val="3BF11BC5"/>
    <w:rsid w:val="3C010C50"/>
    <w:rsid w:val="3CE04876"/>
    <w:rsid w:val="3CF10E45"/>
    <w:rsid w:val="3DB80AEF"/>
    <w:rsid w:val="3DC82679"/>
    <w:rsid w:val="3DD66B86"/>
    <w:rsid w:val="3E2609B2"/>
    <w:rsid w:val="3E697FF5"/>
    <w:rsid w:val="3E722DCC"/>
    <w:rsid w:val="3E7758F0"/>
    <w:rsid w:val="3EB562E1"/>
    <w:rsid w:val="3ED54C2F"/>
    <w:rsid w:val="3EF67B21"/>
    <w:rsid w:val="3F5301FB"/>
    <w:rsid w:val="3F870779"/>
    <w:rsid w:val="3F8A7085"/>
    <w:rsid w:val="3F9264D0"/>
    <w:rsid w:val="402462FD"/>
    <w:rsid w:val="40404EE0"/>
    <w:rsid w:val="410D55F0"/>
    <w:rsid w:val="41163DD2"/>
    <w:rsid w:val="41171FD0"/>
    <w:rsid w:val="412A1D04"/>
    <w:rsid w:val="41560FC7"/>
    <w:rsid w:val="41A01FC6"/>
    <w:rsid w:val="41BA7659"/>
    <w:rsid w:val="41F45E6E"/>
    <w:rsid w:val="4276163D"/>
    <w:rsid w:val="429A4187"/>
    <w:rsid w:val="429C1067"/>
    <w:rsid w:val="42F3082F"/>
    <w:rsid w:val="43053FBA"/>
    <w:rsid w:val="432929EE"/>
    <w:rsid w:val="43314A46"/>
    <w:rsid w:val="4357332E"/>
    <w:rsid w:val="43873C61"/>
    <w:rsid w:val="43B7462F"/>
    <w:rsid w:val="43D6649C"/>
    <w:rsid w:val="43D85A47"/>
    <w:rsid w:val="44145BCF"/>
    <w:rsid w:val="44154363"/>
    <w:rsid w:val="44265BF2"/>
    <w:rsid w:val="445157F9"/>
    <w:rsid w:val="44520322"/>
    <w:rsid w:val="44735802"/>
    <w:rsid w:val="447946B3"/>
    <w:rsid w:val="44A64897"/>
    <w:rsid w:val="4584483D"/>
    <w:rsid w:val="45862DAF"/>
    <w:rsid w:val="465115D2"/>
    <w:rsid w:val="466909FB"/>
    <w:rsid w:val="46870C4E"/>
    <w:rsid w:val="46E56339"/>
    <w:rsid w:val="46F04E55"/>
    <w:rsid w:val="4735161B"/>
    <w:rsid w:val="473F7061"/>
    <w:rsid w:val="476D0AD6"/>
    <w:rsid w:val="48284B85"/>
    <w:rsid w:val="48412859"/>
    <w:rsid w:val="48FD0D9E"/>
    <w:rsid w:val="49CD2466"/>
    <w:rsid w:val="4A204E21"/>
    <w:rsid w:val="4A311A18"/>
    <w:rsid w:val="4A3C43E7"/>
    <w:rsid w:val="4A452824"/>
    <w:rsid w:val="4A477D2B"/>
    <w:rsid w:val="4A6827B3"/>
    <w:rsid w:val="4A8D26AA"/>
    <w:rsid w:val="4A904F07"/>
    <w:rsid w:val="4AD02480"/>
    <w:rsid w:val="4B2256FB"/>
    <w:rsid w:val="4B365921"/>
    <w:rsid w:val="4BE57A49"/>
    <w:rsid w:val="4CD90C6B"/>
    <w:rsid w:val="4CE74F4D"/>
    <w:rsid w:val="4D291E16"/>
    <w:rsid w:val="4D2D6B40"/>
    <w:rsid w:val="4D815663"/>
    <w:rsid w:val="4DC06A84"/>
    <w:rsid w:val="4DD27745"/>
    <w:rsid w:val="4DF27705"/>
    <w:rsid w:val="4DF72A08"/>
    <w:rsid w:val="4E022D59"/>
    <w:rsid w:val="4E091301"/>
    <w:rsid w:val="4E157A52"/>
    <w:rsid w:val="4E407F7D"/>
    <w:rsid w:val="4E4122C2"/>
    <w:rsid w:val="4E7E71F0"/>
    <w:rsid w:val="4E974ADF"/>
    <w:rsid w:val="4EF621E1"/>
    <w:rsid w:val="4F265EBB"/>
    <w:rsid w:val="4F7D56F4"/>
    <w:rsid w:val="501B218D"/>
    <w:rsid w:val="50271DE1"/>
    <w:rsid w:val="502C3407"/>
    <w:rsid w:val="504641EC"/>
    <w:rsid w:val="5059227D"/>
    <w:rsid w:val="50AD7110"/>
    <w:rsid w:val="50C86601"/>
    <w:rsid w:val="50E11F6B"/>
    <w:rsid w:val="50E77EFE"/>
    <w:rsid w:val="51093252"/>
    <w:rsid w:val="511A62E7"/>
    <w:rsid w:val="51283BE7"/>
    <w:rsid w:val="513C38D8"/>
    <w:rsid w:val="514221D5"/>
    <w:rsid w:val="51662594"/>
    <w:rsid w:val="519F7014"/>
    <w:rsid w:val="51B01DB1"/>
    <w:rsid w:val="51D87BE8"/>
    <w:rsid w:val="51E9384F"/>
    <w:rsid w:val="52154051"/>
    <w:rsid w:val="522C130E"/>
    <w:rsid w:val="52495D62"/>
    <w:rsid w:val="52E2163D"/>
    <w:rsid w:val="535019F0"/>
    <w:rsid w:val="539A5F0C"/>
    <w:rsid w:val="54501F46"/>
    <w:rsid w:val="545119EE"/>
    <w:rsid w:val="5472471D"/>
    <w:rsid w:val="548F6B52"/>
    <w:rsid w:val="54DE3FA8"/>
    <w:rsid w:val="5515591A"/>
    <w:rsid w:val="553C6671"/>
    <w:rsid w:val="55775A2B"/>
    <w:rsid w:val="55982094"/>
    <w:rsid w:val="561F4464"/>
    <w:rsid w:val="568923E9"/>
    <w:rsid w:val="56A33C92"/>
    <w:rsid w:val="56D31D46"/>
    <w:rsid w:val="571F3F16"/>
    <w:rsid w:val="573E3119"/>
    <w:rsid w:val="5757562F"/>
    <w:rsid w:val="577A106C"/>
    <w:rsid w:val="577C7FB3"/>
    <w:rsid w:val="578810DA"/>
    <w:rsid w:val="57BC26D6"/>
    <w:rsid w:val="580A53E6"/>
    <w:rsid w:val="581B48E5"/>
    <w:rsid w:val="58573E8E"/>
    <w:rsid w:val="58635FAD"/>
    <w:rsid w:val="58A10ED2"/>
    <w:rsid w:val="58A4109F"/>
    <w:rsid w:val="58D114CE"/>
    <w:rsid w:val="59843151"/>
    <w:rsid w:val="59C92C8C"/>
    <w:rsid w:val="59CC1752"/>
    <w:rsid w:val="59EE16C8"/>
    <w:rsid w:val="5A2502D0"/>
    <w:rsid w:val="5AA552CF"/>
    <w:rsid w:val="5B00605E"/>
    <w:rsid w:val="5B1633A1"/>
    <w:rsid w:val="5BAF5274"/>
    <w:rsid w:val="5C0C22DA"/>
    <w:rsid w:val="5C0E23FC"/>
    <w:rsid w:val="5C175E50"/>
    <w:rsid w:val="5C567E53"/>
    <w:rsid w:val="5C8C6243"/>
    <w:rsid w:val="5CD82AD8"/>
    <w:rsid w:val="5CDA6CEF"/>
    <w:rsid w:val="5D290EB5"/>
    <w:rsid w:val="5D3F1D7D"/>
    <w:rsid w:val="5DEC1314"/>
    <w:rsid w:val="5E103F94"/>
    <w:rsid w:val="5E9A4FF4"/>
    <w:rsid w:val="5ED35331"/>
    <w:rsid w:val="5ED90A33"/>
    <w:rsid w:val="5ED94F20"/>
    <w:rsid w:val="5EFF3B40"/>
    <w:rsid w:val="5F1A093B"/>
    <w:rsid w:val="5F767B6B"/>
    <w:rsid w:val="5FBC2784"/>
    <w:rsid w:val="5FD12894"/>
    <w:rsid w:val="5FEE1AAE"/>
    <w:rsid w:val="5FF15109"/>
    <w:rsid w:val="5FFD73BA"/>
    <w:rsid w:val="600839FF"/>
    <w:rsid w:val="601131DA"/>
    <w:rsid w:val="60321477"/>
    <w:rsid w:val="60542927"/>
    <w:rsid w:val="608C39E9"/>
    <w:rsid w:val="60950820"/>
    <w:rsid w:val="609C5C96"/>
    <w:rsid w:val="60ED2CC2"/>
    <w:rsid w:val="611B3D01"/>
    <w:rsid w:val="614F35C8"/>
    <w:rsid w:val="615E036F"/>
    <w:rsid w:val="618C17C7"/>
    <w:rsid w:val="61B349D1"/>
    <w:rsid w:val="61D244B9"/>
    <w:rsid w:val="61D6728C"/>
    <w:rsid w:val="61D74D39"/>
    <w:rsid w:val="62246A3D"/>
    <w:rsid w:val="623D691B"/>
    <w:rsid w:val="62D65EC8"/>
    <w:rsid w:val="62EE686D"/>
    <w:rsid w:val="632B5225"/>
    <w:rsid w:val="633678A7"/>
    <w:rsid w:val="63461D37"/>
    <w:rsid w:val="63760EC2"/>
    <w:rsid w:val="637A2A65"/>
    <w:rsid w:val="63BF5087"/>
    <w:rsid w:val="63C74D38"/>
    <w:rsid w:val="63D0539D"/>
    <w:rsid w:val="64586D6A"/>
    <w:rsid w:val="646410EF"/>
    <w:rsid w:val="64B75DCF"/>
    <w:rsid w:val="64E63B06"/>
    <w:rsid w:val="64F953C5"/>
    <w:rsid w:val="65074B11"/>
    <w:rsid w:val="65C77490"/>
    <w:rsid w:val="65D200F0"/>
    <w:rsid w:val="65DC5745"/>
    <w:rsid w:val="6619635E"/>
    <w:rsid w:val="662951F5"/>
    <w:rsid w:val="66687C4D"/>
    <w:rsid w:val="666F025E"/>
    <w:rsid w:val="66DE2802"/>
    <w:rsid w:val="67A440D5"/>
    <w:rsid w:val="67B60569"/>
    <w:rsid w:val="67C7725F"/>
    <w:rsid w:val="67CF2A16"/>
    <w:rsid w:val="67D0731B"/>
    <w:rsid w:val="67F457BC"/>
    <w:rsid w:val="68071A03"/>
    <w:rsid w:val="682A7955"/>
    <w:rsid w:val="683A76EE"/>
    <w:rsid w:val="684D6587"/>
    <w:rsid w:val="68BF6E49"/>
    <w:rsid w:val="68D25322"/>
    <w:rsid w:val="68E34378"/>
    <w:rsid w:val="69144C5D"/>
    <w:rsid w:val="69192A33"/>
    <w:rsid w:val="69237B72"/>
    <w:rsid w:val="69270753"/>
    <w:rsid w:val="69A26F6D"/>
    <w:rsid w:val="69B55DD3"/>
    <w:rsid w:val="69F008B5"/>
    <w:rsid w:val="6A6056F5"/>
    <w:rsid w:val="6ACB0553"/>
    <w:rsid w:val="6B081E84"/>
    <w:rsid w:val="6B0C55CA"/>
    <w:rsid w:val="6B392B57"/>
    <w:rsid w:val="6C146581"/>
    <w:rsid w:val="6C16613E"/>
    <w:rsid w:val="6C1E3D4C"/>
    <w:rsid w:val="6C2F3E68"/>
    <w:rsid w:val="6C9C7E18"/>
    <w:rsid w:val="6D083ED8"/>
    <w:rsid w:val="6D275125"/>
    <w:rsid w:val="6D523637"/>
    <w:rsid w:val="6D825639"/>
    <w:rsid w:val="6E9300DC"/>
    <w:rsid w:val="6E9E5294"/>
    <w:rsid w:val="6EB02487"/>
    <w:rsid w:val="6F6E6637"/>
    <w:rsid w:val="6F9E33FB"/>
    <w:rsid w:val="6FD5299E"/>
    <w:rsid w:val="700D5716"/>
    <w:rsid w:val="70671532"/>
    <w:rsid w:val="70AA42E7"/>
    <w:rsid w:val="70B825D8"/>
    <w:rsid w:val="70CC1BE0"/>
    <w:rsid w:val="70E87C8B"/>
    <w:rsid w:val="712A5044"/>
    <w:rsid w:val="7172168B"/>
    <w:rsid w:val="71836742"/>
    <w:rsid w:val="71CE1100"/>
    <w:rsid w:val="71CF072C"/>
    <w:rsid w:val="71E76CD1"/>
    <w:rsid w:val="72066002"/>
    <w:rsid w:val="725400A9"/>
    <w:rsid w:val="72B80A02"/>
    <w:rsid w:val="72C4086A"/>
    <w:rsid w:val="72D946E8"/>
    <w:rsid w:val="72FD5DC4"/>
    <w:rsid w:val="730665F6"/>
    <w:rsid w:val="73A0182E"/>
    <w:rsid w:val="73C82B32"/>
    <w:rsid w:val="73C94886"/>
    <w:rsid w:val="73D4594D"/>
    <w:rsid w:val="74297E63"/>
    <w:rsid w:val="745058B3"/>
    <w:rsid w:val="74937DF0"/>
    <w:rsid w:val="74BB58F5"/>
    <w:rsid w:val="750D7C9B"/>
    <w:rsid w:val="754B7577"/>
    <w:rsid w:val="75534997"/>
    <w:rsid w:val="7582039F"/>
    <w:rsid w:val="75A212B2"/>
    <w:rsid w:val="76396620"/>
    <w:rsid w:val="767C5066"/>
    <w:rsid w:val="76853563"/>
    <w:rsid w:val="769B5814"/>
    <w:rsid w:val="76B87678"/>
    <w:rsid w:val="76C45B99"/>
    <w:rsid w:val="771060F5"/>
    <w:rsid w:val="771E3AB1"/>
    <w:rsid w:val="773618D5"/>
    <w:rsid w:val="7789232A"/>
    <w:rsid w:val="77AD55BB"/>
    <w:rsid w:val="77F374C7"/>
    <w:rsid w:val="78684ADC"/>
    <w:rsid w:val="78831FD6"/>
    <w:rsid w:val="78BF2F4F"/>
    <w:rsid w:val="78D71452"/>
    <w:rsid w:val="78F73CFE"/>
    <w:rsid w:val="7913766D"/>
    <w:rsid w:val="79161336"/>
    <w:rsid w:val="79190AAF"/>
    <w:rsid w:val="79512273"/>
    <w:rsid w:val="79C1605A"/>
    <w:rsid w:val="79EA494D"/>
    <w:rsid w:val="7A052A73"/>
    <w:rsid w:val="7A286917"/>
    <w:rsid w:val="7A5942B7"/>
    <w:rsid w:val="7A985017"/>
    <w:rsid w:val="7AB52BF7"/>
    <w:rsid w:val="7ABC1291"/>
    <w:rsid w:val="7ACD35D8"/>
    <w:rsid w:val="7AF47C19"/>
    <w:rsid w:val="7B2D561E"/>
    <w:rsid w:val="7B3D391E"/>
    <w:rsid w:val="7B75534E"/>
    <w:rsid w:val="7B8E425A"/>
    <w:rsid w:val="7BB60F28"/>
    <w:rsid w:val="7BB839D0"/>
    <w:rsid w:val="7BDC009D"/>
    <w:rsid w:val="7BE12D5A"/>
    <w:rsid w:val="7BE130CB"/>
    <w:rsid w:val="7C0A7FF8"/>
    <w:rsid w:val="7C0E12FE"/>
    <w:rsid w:val="7C257112"/>
    <w:rsid w:val="7C314E64"/>
    <w:rsid w:val="7C4F4FED"/>
    <w:rsid w:val="7C6C4E24"/>
    <w:rsid w:val="7C847632"/>
    <w:rsid w:val="7D121450"/>
    <w:rsid w:val="7D284839"/>
    <w:rsid w:val="7D406136"/>
    <w:rsid w:val="7D4470D8"/>
    <w:rsid w:val="7D62244B"/>
    <w:rsid w:val="7D9E6686"/>
    <w:rsid w:val="7E1142EC"/>
    <w:rsid w:val="7E5D17F6"/>
    <w:rsid w:val="7EA94BA9"/>
    <w:rsid w:val="7F2A00E9"/>
    <w:rsid w:val="7F6D0163"/>
    <w:rsid w:val="7F7917BB"/>
    <w:rsid w:val="7F8A5F75"/>
    <w:rsid w:val="7F8E2356"/>
    <w:rsid w:val="7F9A3079"/>
    <w:rsid w:val="7F9D6387"/>
    <w:rsid w:val="7FB720E2"/>
    <w:rsid w:val="7FD7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7">
    <w:name w:val="font61"/>
    <w:basedOn w:val="4"/>
    <w:qFormat/>
    <w:uiPriority w:val="0"/>
    <w:rPr>
      <w:rFonts w:hint="eastAsia" w:ascii="宋体" w:hAnsi="宋体" w:eastAsia="宋体" w:cs="宋体"/>
      <w:color w:val="000000"/>
      <w:sz w:val="18"/>
      <w:szCs w:val="18"/>
      <w:u w:val="none"/>
    </w:rPr>
  </w:style>
  <w:style w:type="character" w:customStyle="1" w:styleId="8">
    <w:name w:val="font101"/>
    <w:basedOn w:val="4"/>
    <w:autoRedefine/>
    <w:qFormat/>
    <w:uiPriority w:val="0"/>
    <w:rPr>
      <w:rFonts w:ascii="Arial" w:hAnsi="Arial" w:cs="Arial"/>
      <w:color w:val="000000"/>
      <w:sz w:val="18"/>
      <w:szCs w:val="18"/>
      <w:u w:val="none"/>
    </w:rPr>
  </w:style>
  <w:style w:type="character" w:customStyle="1" w:styleId="9">
    <w:name w:val="font71"/>
    <w:basedOn w:val="4"/>
    <w:autoRedefine/>
    <w:qFormat/>
    <w:uiPriority w:val="0"/>
    <w:rPr>
      <w:rFonts w:hint="eastAsia" w:ascii="宋体" w:hAnsi="宋体" w:eastAsia="宋体" w:cs="宋体"/>
      <w:color w:val="000000"/>
      <w:sz w:val="18"/>
      <w:szCs w:val="18"/>
      <w:u w:val="none"/>
    </w:rPr>
  </w:style>
  <w:style w:type="character" w:customStyle="1" w:styleId="10">
    <w:name w:val="font41"/>
    <w:basedOn w:val="4"/>
    <w:autoRedefine/>
    <w:qFormat/>
    <w:uiPriority w:val="0"/>
    <w:rPr>
      <w:rFonts w:hint="eastAsia" w:ascii="仿宋" w:hAnsi="仿宋" w:eastAsia="仿宋" w:cs="仿宋"/>
      <w:color w:val="000000"/>
      <w:sz w:val="20"/>
      <w:szCs w:val="20"/>
      <w:u w:val="none"/>
    </w:rPr>
  </w:style>
  <w:style w:type="character" w:customStyle="1" w:styleId="11">
    <w:name w:val="font51"/>
    <w:basedOn w:val="4"/>
    <w:autoRedefine/>
    <w:qFormat/>
    <w:uiPriority w:val="0"/>
    <w:rPr>
      <w:rFonts w:hint="eastAsia" w:ascii="宋体" w:hAnsi="宋体" w:eastAsia="宋体" w:cs="宋体"/>
      <w:color w:val="000000"/>
      <w:sz w:val="18"/>
      <w:szCs w:val="18"/>
      <w:u w:val="none"/>
    </w:rPr>
  </w:style>
  <w:style w:type="character" w:customStyle="1" w:styleId="12">
    <w:name w:val="font21"/>
    <w:basedOn w:val="4"/>
    <w:autoRedefine/>
    <w:qFormat/>
    <w:uiPriority w:val="0"/>
    <w:rPr>
      <w:rFonts w:hint="eastAsia" w:ascii="宋体" w:hAnsi="宋体" w:eastAsia="宋体" w:cs="宋体"/>
      <w:color w:val="000000"/>
      <w:sz w:val="18"/>
      <w:szCs w:val="18"/>
      <w:u w:val="none"/>
    </w:rPr>
  </w:style>
  <w:style w:type="character" w:customStyle="1" w:styleId="13">
    <w:name w:val="font81"/>
    <w:basedOn w:val="4"/>
    <w:autoRedefine/>
    <w:qFormat/>
    <w:uiPriority w:val="0"/>
    <w:rPr>
      <w:rFonts w:ascii="仿宋" w:hAnsi="仿宋" w:eastAsia="仿宋" w:cs="仿宋"/>
      <w:color w:val="000000"/>
      <w:sz w:val="18"/>
      <w:szCs w:val="18"/>
      <w:u w:val="none"/>
    </w:rPr>
  </w:style>
  <w:style w:type="character" w:customStyle="1" w:styleId="14">
    <w:name w:val="font11"/>
    <w:basedOn w:val="4"/>
    <w:autoRedefine/>
    <w:qFormat/>
    <w:uiPriority w:val="0"/>
    <w:rPr>
      <w:rFonts w:hint="eastAsia" w:ascii="宋体" w:hAnsi="宋体" w:eastAsia="宋体" w:cs="宋体"/>
      <w:color w:val="000000"/>
      <w:sz w:val="18"/>
      <w:szCs w:val="18"/>
      <w:u w:val="none"/>
    </w:rPr>
  </w:style>
  <w:style w:type="character" w:customStyle="1" w:styleId="15">
    <w:name w:val="font01"/>
    <w:basedOn w:val="4"/>
    <w:autoRedefine/>
    <w:qFormat/>
    <w:uiPriority w:val="0"/>
    <w:rPr>
      <w:rFonts w:hint="eastAsia" w:ascii="宋体" w:hAnsi="宋体" w:eastAsia="宋体" w:cs="宋体"/>
      <w:color w:val="000000"/>
      <w:sz w:val="18"/>
      <w:szCs w:val="18"/>
      <w:u w:val="none"/>
    </w:rPr>
  </w:style>
  <w:style w:type="character" w:customStyle="1" w:styleId="16">
    <w:name w:val="font31"/>
    <w:basedOn w:val="4"/>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7108</Words>
  <Characters>7433</Characters>
  <Lines>0</Lines>
  <Paragraphs>0</Paragraphs>
  <TotalTime>1</TotalTime>
  <ScaleCrop>false</ScaleCrop>
  <LinksUpToDate>false</LinksUpToDate>
  <CharactersWithSpaces>8728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2023-05-10T01:13:00Z</dcterms:created>
  <dc:creator>111</dc:creator>
  <cp:lastModifiedBy>杨婧妍</cp:lastModifiedBy>
  <cp:lastPrinted>2023-11-03T03:41:00Z</cp:lastPrinted>
  <dcterms:modified xsi:type="dcterms:W3CDTF">2024-02-23T09:03:53Z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4653631EAD334C0E84CCD5B5D021CDD6</vt:lpwstr>
  </property>
</Properties>
</file>