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28"/>
          <w:szCs w:val="28"/>
          <w:lang w:val="en-US" w:eastAsia="zh-CN"/>
        </w:rPr>
        <w:t>附件1</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2024年度</w:t>
      </w:r>
      <w:r>
        <w:rPr>
          <w:rFonts w:hint="eastAsia" w:ascii="方正小标宋简体" w:hAnsi="方正小标宋简体" w:eastAsia="方正小标宋简体" w:cs="方正小标宋简体"/>
          <w:b w:val="0"/>
          <w:bCs w:val="0"/>
          <w:sz w:val="36"/>
          <w:szCs w:val="36"/>
          <w:u w:val="none"/>
          <w:lang w:val="en-US" w:eastAsia="zh-CN"/>
        </w:rPr>
        <w:t>黄石市医学评价暨继续教育办公室</w:t>
      </w: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预算公开情况说明</w:t>
      </w:r>
    </w:p>
    <w:p>
      <w:pPr>
        <w:jc w:val="both"/>
        <w:rPr>
          <w:rFonts w:hint="eastAsia" w:ascii="仿宋" w:hAnsi="仿宋" w:eastAsia="仿宋" w:cs="仿宋"/>
          <w:sz w:val="44"/>
          <w:szCs w:val="44"/>
          <w:highlight w:val="none"/>
          <w:lang w:val="en-US" w:eastAsia="zh-CN"/>
        </w:rPr>
      </w:pPr>
    </w:p>
    <w:p>
      <w:pPr>
        <w:ind w:firstLine="640" w:firstLineChars="200"/>
        <w:jc w:val="both"/>
        <w:rPr>
          <w:rFonts w:hint="eastAsia" w:ascii="黑体" w:hAnsi="黑体" w:eastAsia="黑体" w:cs="黑体"/>
          <w:b/>
          <w:bCs w:val="0"/>
          <w:sz w:val="44"/>
          <w:szCs w:val="44"/>
          <w:highlight w:val="none"/>
          <w:lang w:val="en-US" w:eastAsia="zh-CN"/>
        </w:rPr>
      </w:pPr>
      <w:r>
        <w:rPr>
          <w:rFonts w:hint="eastAsia" w:ascii="黑体" w:hAnsi="黑体" w:eastAsia="黑体" w:cs="黑体"/>
          <w:b w:val="0"/>
          <w:bCs/>
          <w:sz w:val="32"/>
          <w:szCs w:val="32"/>
          <w:highlight w:val="none"/>
          <w:lang w:val="en-US" w:eastAsia="zh-CN"/>
        </w:rPr>
        <w:t>目录</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一、部门（单位）主要职责</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lang w:val="en-US" w:eastAsia="zh-CN"/>
        </w:rPr>
        <w:t>机构设置情况</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三、预算收支安排及增减变化情况</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四、机关运行经费安排情况说明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五、一般公共预算“三公”经费支出情况说明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六、</w:t>
      </w:r>
      <w:r>
        <w:rPr>
          <w:rFonts w:hint="default" w:ascii="黑体" w:hAnsi="黑体" w:eastAsia="黑体" w:cs="黑体"/>
          <w:b w:val="0"/>
          <w:bCs w:val="0"/>
          <w:sz w:val="32"/>
          <w:szCs w:val="32"/>
          <w:u w:val="none"/>
          <w:lang w:val="en-US" w:eastAsia="zh-CN"/>
        </w:rPr>
        <w:t>政府采购</w:t>
      </w:r>
      <w:r>
        <w:rPr>
          <w:rFonts w:hint="eastAsia" w:ascii="黑体" w:hAnsi="黑体" w:eastAsia="黑体" w:cs="黑体"/>
          <w:b w:val="0"/>
          <w:bCs w:val="0"/>
          <w:sz w:val="32"/>
          <w:szCs w:val="32"/>
          <w:u w:val="none"/>
          <w:lang w:val="en-US" w:eastAsia="zh-CN"/>
        </w:rPr>
        <w:t>安排情况</w:t>
      </w:r>
      <w:r>
        <w:rPr>
          <w:rFonts w:hint="default" w:ascii="黑体" w:hAnsi="黑体" w:eastAsia="黑体" w:cs="黑体"/>
          <w:b w:val="0"/>
          <w:bCs w:val="0"/>
          <w:sz w:val="32"/>
          <w:szCs w:val="32"/>
          <w:u w:val="none"/>
          <w:lang w:val="en-US" w:eastAsia="zh-CN"/>
        </w:rPr>
        <w:t>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七、</w:t>
      </w:r>
      <w:r>
        <w:rPr>
          <w:rFonts w:hint="default" w:ascii="黑体" w:hAnsi="黑体" w:eastAsia="黑体" w:cs="黑体"/>
          <w:b w:val="0"/>
          <w:bCs w:val="0"/>
          <w:sz w:val="32"/>
          <w:szCs w:val="32"/>
          <w:u w:val="none"/>
          <w:lang w:val="en-US" w:eastAsia="zh-CN"/>
        </w:rPr>
        <w:t>国有资产占用情况</w:t>
      </w:r>
      <w:r>
        <w:rPr>
          <w:rFonts w:hint="eastAsia" w:ascii="黑体" w:hAnsi="黑体" w:eastAsia="黑体" w:cs="黑体"/>
          <w:b w:val="0"/>
          <w:bCs w:val="0"/>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八、重点项目预算绩效情况说明</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九、其他需要说明的情况</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u w:val="none"/>
          <w:lang w:val="en-US" w:eastAsia="zh-CN"/>
        </w:rPr>
        <w:t>十、专业名词解释</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十一、2024部门预算表</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十二、2024年项目支出绩效目标批复表</w:t>
      </w:r>
    </w:p>
    <w:p>
      <w:pPr>
        <w:widowControl/>
        <w:spacing w:line="360" w:lineRule="auto"/>
        <w:jc w:val="left"/>
        <w:rPr>
          <w:rFonts w:hint="eastAsia" w:ascii="仿宋" w:hAnsi="仿宋" w:eastAsia="仿宋"/>
          <w:color w:val="000000"/>
          <w:sz w:val="32"/>
          <w:szCs w:val="32"/>
          <w:highlight w:val="none"/>
        </w:rPr>
      </w:pPr>
    </w:p>
    <w:p>
      <w:pPr>
        <w:widowControl/>
        <w:spacing w:line="360" w:lineRule="auto"/>
        <w:jc w:val="left"/>
        <w:rPr>
          <w:rFonts w:hint="eastAsia" w:ascii="仿宋" w:hAnsi="仿宋" w:eastAsia="仿宋"/>
          <w:color w:val="000000"/>
          <w:sz w:val="32"/>
          <w:szCs w:val="32"/>
          <w:highlight w:val="none"/>
        </w:rPr>
      </w:pPr>
    </w:p>
    <w:p>
      <w:pPr>
        <w:widowControl/>
        <w:spacing w:line="360" w:lineRule="auto"/>
        <w:jc w:val="left"/>
        <w:rPr>
          <w:rFonts w:hint="eastAsia" w:ascii="仿宋" w:hAnsi="仿宋" w:eastAsia="仿宋"/>
          <w:color w:val="000000"/>
          <w:sz w:val="32"/>
          <w:szCs w:val="32"/>
          <w:highlight w:val="none"/>
        </w:rPr>
      </w:pPr>
    </w:p>
    <w:p>
      <w:pPr>
        <w:widowControl/>
        <w:spacing w:line="360" w:lineRule="auto"/>
        <w:jc w:val="left"/>
        <w:rPr>
          <w:rFonts w:hint="eastAsia" w:ascii="仿宋" w:hAnsi="仿宋" w:eastAsia="仿宋"/>
          <w:color w:val="000000"/>
          <w:sz w:val="32"/>
          <w:szCs w:val="32"/>
          <w:highlight w:val="none"/>
        </w:rPr>
      </w:pPr>
    </w:p>
    <w:p>
      <w:pPr>
        <w:widowControl/>
        <w:spacing w:line="360" w:lineRule="auto"/>
        <w:jc w:val="left"/>
        <w:rPr>
          <w:rFonts w:hint="eastAsia" w:ascii="仿宋" w:hAnsi="仿宋" w:eastAsia="仿宋"/>
          <w:color w:val="00000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atLeast"/>
        <w:ind w:firstLine="643" w:firstLineChars="200"/>
        <w:textAlignment w:val="auto"/>
        <w:rPr>
          <w:rFonts w:ascii="仿宋" w:hAnsi="仿宋" w:eastAsia="仿宋" w:cs="宋体"/>
          <w:kern w:val="0"/>
          <w:sz w:val="32"/>
          <w:szCs w:val="32"/>
          <w:highlight w:val="none"/>
        </w:rPr>
      </w:pPr>
      <w:r>
        <w:rPr>
          <w:rFonts w:hint="eastAsia" w:ascii="黑体" w:hAnsi="黑体" w:eastAsia="黑体" w:cs="黑体"/>
          <w:b/>
          <w:bCs/>
          <w:sz w:val="32"/>
          <w:szCs w:val="32"/>
          <w:u w:val="none"/>
          <w:lang w:val="en-US" w:eastAsia="zh-CN"/>
        </w:rPr>
        <w:t>第一部分  部门（单位）主要职责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Cs/>
          <w:sz w:val="32"/>
          <w:szCs w:val="32"/>
          <w:highlight w:val="none"/>
          <w:lang w:val="en-US" w:eastAsia="zh-CN"/>
        </w:rPr>
        <w:t>（一）</w:t>
      </w:r>
      <w:r>
        <w:rPr>
          <w:rFonts w:hint="eastAsia" w:ascii="仿宋_GB2312" w:hAnsi="仿宋_GB2312" w:eastAsia="仿宋_GB2312" w:cs="仿宋_GB2312"/>
          <w:sz w:val="32"/>
          <w:szCs w:val="32"/>
          <w:highlight w:val="none"/>
        </w:rPr>
        <w:t>承担医疗事故技术鉴定、医疗损害鉴定和职业病鉴定职能；</w:t>
      </w:r>
      <w:r>
        <w:rPr>
          <w:rFonts w:hint="eastAsia" w:ascii="仿宋_GB2312" w:hAnsi="仿宋_GB2312" w:eastAsia="仿宋_GB2312" w:cs="仿宋_GB2312"/>
          <w:bCs/>
          <w:sz w:val="32"/>
          <w:szCs w:val="32"/>
          <w:highlight w:val="none"/>
          <w:lang w:val="en-US" w:eastAsia="zh-CN"/>
        </w:rPr>
        <w:t>（二）</w:t>
      </w:r>
      <w:r>
        <w:rPr>
          <w:rFonts w:hint="eastAsia" w:ascii="仿宋_GB2312" w:hAnsi="仿宋_GB2312" w:eastAsia="仿宋_GB2312" w:cs="仿宋_GB2312"/>
          <w:sz w:val="32"/>
          <w:szCs w:val="32"/>
          <w:highlight w:val="none"/>
        </w:rPr>
        <w:t>承担全市继续医学教育管理及服务职能；</w:t>
      </w:r>
      <w:r>
        <w:rPr>
          <w:rFonts w:hint="eastAsia" w:ascii="仿宋_GB2312" w:hAnsi="仿宋_GB2312" w:eastAsia="仿宋_GB2312" w:cs="仿宋_GB2312"/>
          <w:bCs/>
          <w:sz w:val="32"/>
          <w:szCs w:val="32"/>
          <w:highlight w:val="none"/>
          <w:lang w:val="en-US" w:eastAsia="zh-CN"/>
        </w:rPr>
        <w:t>（三）</w:t>
      </w:r>
      <w:r>
        <w:rPr>
          <w:rFonts w:hint="eastAsia" w:ascii="仿宋_GB2312" w:hAnsi="仿宋_GB2312" w:eastAsia="仿宋_GB2312" w:cs="仿宋_GB2312"/>
          <w:sz w:val="32"/>
          <w:szCs w:val="32"/>
          <w:highlight w:val="none"/>
        </w:rPr>
        <w:t>承担全市医疗卫生交流和科技成果推广应用职能；</w:t>
      </w:r>
      <w:r>
        <w:rPr>
          <w:rFonts w:hint="eastAsia" w:ascii="仿宋_GB2312" w:hAnsi="仿宋_GB2312" w:eastAsia="仿宋_GB2312" w:cs="仿宋_GB2312"/>
          <w:bCs/>
          <w:sz w:val="32"/>
          <w:szCs w:val="32"/>
          <w:highlight w:val="none"/>
          <w:lang w:val="en-US" w:eastAsia="zh-CN"/>
        </w:rPr>
        <w:t>（四）</w:t>
      </w:r>
      <w:r>
        <w:rPr>
          <w:rFonts w:hint="eastAsia" w:ascii="仿宋_GB2312" w:hAnsi="仿宋_GB2312" w:eastAsia="仿宋_GB2312" w:cs="仿宋_GB2312"/>
          <w:sz w:val="32"/>
          <w:szCs w:val="32"/>
          <w:highlight w:val="none"/>
        </w:rPr>
        <w:t>承担全市科普健康宣传教育职能；</w:t>
      </w:r>
      <w:r>
        <w:rPr>
          <w:rFonts w:hint="eastAsia" w:ascii="仿宋_GB2312" w:hAnsi="仿宋_GB2312" w:eastAsia="仿宋_GB2312" w:cs="仿宋_GB2312"/>
          <w:bCs/>
          <w:sz w:val="32"/>
          <w:szCs w:val="32"/>
          <w:highlight w:val="none"/>
          <w:lang w:val="en-US" w:eastAsia="zh-CN"/>
        </w:rPr>
        <w:t>（五）</w:t>
      </w:r>
      <w:r>
        <w:rPr>
          <w:rFonts w:hint="eastAsia" w:ascii="仿宋_GB2312" w:hAnsi="仿宋_GB2312" w:eastAsia="仿宋_GB2312" w:cs="仿宋_GB2312"/>
          <w:sz w:val="32"/>
          <w:szCs w:val="32"/>
          <w:highlight w:val="none"/>
        </w:rPr>
        <w:t>承担执业医师考试、卫生专业技术人员考试、护土执业资格考试职能；</w:t>
      </w:r>
      <w:r>
        <w:rPr>
          <w:rFonts w:hint="eastAsia" w:ascii="仿宋_GB2312" w:hAnsi="仿宋_GB2312" w:eastAsia="仿宋_GB2312" w:cs="仿宋_GB2312"/>
          <w:bCs/>
          <w:sz w:val="32"/>
          <w:szCs w:val="32"/>
          <w:highlight w:val="none"/>
          <w:lang w:val="en-US" w:eastAsia="zh-CN"/>
        </w:rPr>
        <w:t>（六）</w:t>
      </w:r>
      <w:r>
        <w:rPr>
          <w:rFonts w:hint="eastAsia" w:ascii="仿宋_GB2312" w:hAnsi="仿宋_GB2312" w:eastAsia="仿宋_GB2312" w:cs="仿宋_GB2312"/>
          <w:sz w:val="32"/>
          <w:szCs w:val="32"/>
          <w:highlight w:val="none"/>
        </w:rPr>
        <w:t>承担全市卫生类社团的管理职能。</w:t>
      </w:r>
    </w:p>
    <w:p>
      <w:pPr>
        <w:adjustRightInd w:val="0"/>
        <w:snapToGrid w:val="0"/>
        <w:spacing w:line="580" w:lineRule="atLeas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u w:val="none"/>
          <w:lang w:val="en-US" w:eastAsia="zh-CN"/>
        </w:rPr>
        <w:t xml:space="preserve">第二部分  </w:t>
      </w:r>
      <w:r>
        <w:rPr>
          <w:rFonts w:hint="eastAsia" w:ascii="黑体" w:hAnsi="黑体" w:eastAsia="黑体" w:cs="黑体"/>
          <w:b/>
          <w:bCs/>
          <w:sz w:val="32"/>
          <w:szCs w:val="32"/>
          <w:lang w:val="en-US" w:eastAsia="zh-CN"/>
        </w:rPr>
        <w:t>机构设置情况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黄石市医学评价暨继续教育办公室为</w:t>
      </w:r>
      <w:r>
        <w:rPr>
          <w:rFonts w:hint="eastAsia" w:ascii="仿宋_GB2312" w:hAnsi="仿宋_GB2312" w:eastAsia="仿宋_GB2312" w:cs="仿宋_GB2312"/>
          <w:sz w:val="32"/>
          <w:szCs w:val="32"/>
          <w:highlight w:val="none"/>
        </w:rPr>
        <w:t>黄石市卫生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委员会的二级</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人员编制11人，实有</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人，退休</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内设</w:t>
      </w:r>
      <w:r>
        <w:rPr>
          <w:rFonts w:hint="eastAsia" w:ascii="仿宋_GB2312" w:hAnsi="仿宋_GB2312" w:eastAsia="仿宋_GB2312" w:cs="仿宋_GB2312"/>
          <w:sz w:val="32"/>
          <w:szCs w:val="32"/>
          <w:highlight w:val="none"/>
          <w:lang w:val="en-US" w:eastAsia="zh-CN"/>
        </w:rPr>
        <w:t>3个科室：</w:t>
      </w:r>
      <w:r>
        <w:rPr>
          <w:rFonts w:hint="eastAsia" w:ascii="仿宋_GB2312" w:hAnsi="仿宋_GB2312" w:eastAsia="仿宋_GB2312" w:cs="仿宋_GB2312"/>
          <w:sz w:val="32"/>
          <w:szCs w:val="32"/>
          <w:highlight w:val="none"/>
        </w:rPr>
        <w:t>党政办公室、社团学术部、综合职能办公室</w:t>
      </w:r>
      <w:r>
        <w:rPr>
          <w:rFonts w:hint="eastAsia" w:ascii="仿宋_GB2312" w:hAnsi="仿宋_GB2312" w:eastAsia="仿宋_GB2312" w:cs="仿宋_GB2312"/>
          <w:sz w:val="32"/>
          <w:szCs w:val="32"/>
          <w:highlight w:val="none"/>
          <w:lang w:eastAsia="zh-CN"/>
        </w:rPr>
        <w:t>。</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第三部分  预算收支安排及增减变化情况</w:t>
      </w:r>
    </w:p>
    <w:p>
      <w:pPr>
        <w:widowControl/>
        <w:spacing w:line="360" w:lineRule="auto"/>
        <w:ind w:firstLine="643" w:firstLineChars="200"/>
        <w:jc w:val="left"/>
        <w:rPr>
          <w:rFonts w:hint="eastAsia" w:ascii="仿宋_GB2312" w:hAnsi="宋体" w:eastAsia="仿宋_GB2312"/>
          <w:b/>
          <w:bCs w:val="0"/>
          <w:sz w:val="32"/>
          <w:szCs w:val="32"/>
          <w:highlight w:val="none"/>
          <w:lang w:val="en-US" w:eastAsia="zh-CN"/>
        </w:rPr>
      </w:pP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一</w:t>
      </w: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收</w:t>
      </w:r>
      <w:r>
        <w:rPr>
          <w:rFonts w:hint="eastAsia" w:ascii="仿宋_GB2312" w:hAnsi="宋体"/>
          <w:b/>
          <w:bCs w:val="0"/>
          <w:sz w:val="32"/>
          <w:szCs w:val="32"/>
          <w:highlight w:val="none"/>
          <w:lang w:val="en-US" w:eastAsia="zh-CN"/>
        </w:rPr>
        <w:t>入支出预算</w:t>
      </w:r>
      <w:r>
        <w:rPr>
          <w:rFonts w:hint="eastAsia" w:ascii="仿宋_GB2312" w:hAnsi="宋体" w:eastAsia="仿宋_GB2312"/>
          <w:b/>
          <w:bCs w:val="0"/>
          <w:sz w:val="32"/>
          <w:szCs w:val="32"/>
          <w:highlight w:val="none"/>
          <w:lang w:val="en-US" w:eastAsia="zh-CN"/>
        </w:rPr>
        <w:t>总体情况</w:t>
      </w:r>
      <w:r>
        <w:rPr>
          <w:rFonts w:hint="eastAsia" w:ascii="仿宋_GB2312" w:hAnsi="宋体"/>
          <w:b/>
          <w:bCs w:val="0"/>
          <w:sz w:val="32"/>
          <w:szCs w:val="32"/>
          <w:highlight w:val="none"/>
          <w:lang w:val="en-US" w:eastAsia="zh-CN"/>
        </w:rPr>
        <w:t>及增减变化情况</w:t>
      </w:r>
      <w:r>
        <w:rPr>
          <w:rFonts w:hint="eastAsia" w:ascii="仿宋_GB2312" w:hAnsi="宋体" w:eastAsia="仿宋_GB2312"/>
          <w:b/>
          <w:bCs w:val="0"/>
          <w:sz w:val="32"/>
          <w:szCs w:val="32"/>
          <w:highlight w:val="none"/>
          <w:lang w:val="en-US" w:eastAsia="zh-CN"/>
        </w:rPr>
        <w:t>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按照综合预算的原则，</w:t>
      </w:r>
      <w:r>
        <w:rPr>
          <w:rFonts w:hint="eastAsia" w:ascii="仿宋_GB2312" w:hAnsi="仿宋_GB2312" w:eastAsia="仿宋_GB2312" w:cs="仿宋_GB2312"/>
          <w:sz w:val="32"/>
          <w:szCs w:val="32"/>
          <w:highlight w:val="none"/>
          <w:lang w:eastAsia="zh-CN"/>
        </w:rPr>
        <w:t>黄石市医学评价暨继续教育办公室</w:t>
      </w:r>
      <w:r>
        <w:rPr>
          <w:rFonts w:hint="eastAsia" w:ascii="仿宋_GB2312" w:hAnsi="仿宋_GB2312" w:eastAsia="仿宋_GB2312" w:cs="仿宋_GB2312"/>
          <w:sz w:val="32"/>
          <w:szCs w:val="32"/>
          <w:highlight w:val="none"/>
        </w:rPr>
        <w:t>所有收入和支出均纳入部门预算管理。</w:t>
      </w:r>
      <w:r>
        <w:rPr>
          <w:rFonts w:hint="eastAsia" w:ascii="仿宋_GB2312" w:hAnsi="仿宋_GB2312" w:eastAsia="仿宋_GB2312" w:cs="仿宋_GB2312"/>
          <w:b/>
          <w:bCs/>
          <w:sz w:val="32"/>
          <w:szCs w:val="32"/>
          <w:highlight w:val="none"/>
          <w:lang w:val="en-US" w:eastAsia="zh-CN"/>
        </w:rPr>
        <w:t>收入包括：</w:t>
      </w:r>
      <w:r>
        <w:rPr>
          <w:rFonts w:hint="eastAsia" w:ascii="仿宋_GB2312" w:hAnsi="仿宋_GB2312" w:eastAsia="仿宋_GB2312" w:cs="仿宋_GB2312"/>
          <w:sz w:val="32"/>
          <w:szCs w:val="32"/>
          <w:highlight w:val="none"/>
          <w:lang w:val="en-US" w:eastAsia="zh-CN"/>
        </w:rPr>
        <w:t>一般公共预算拨款收入；</w:t>
      </w:r>
      <w:r>
        <w:rPr>
          <w:rFonts w:hint="eastAsia" w:ascii="仿宋_GB2312" w:hAnsi="仿宋_GB2312" w:eastAsia="仿宋_GB2312" w:cs="仿宋_GB2312"/>
          <w:b/>
          <w:bCs/>
          <w:sz w:val="32"/>
          <w:szCs w:val="32"/>
          <w:highlight w:val="none"/>
          <w:lang w:val="en-US" w:eastAsia="zh-CN"/>
        </w:rPr>
        <w:t>支出包括：</w:t>
      </w:r>
      <w:r>
        <w:rPr>
          <w:rFonts w:hint="eastAsia" w:ascii="仿宋" w:hAnsi="仿宋" w:eastAsia="仿宋" w:cs="宋体"/>
          <w:kern w:val="0"/>
          <w:sz w:val="32"/>
          <w:szCs w:val="32"/>
        </w:rPr>
        <w:t>一般公共预算财政拨款支出，全部为其他卫生健康管理事务支出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2024年度收支总预算227.8万元。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其中：1、收入预算情况。2024年度收入预算227.8万元。比上年预算增加20.31万元，</w:t>
      </w:r>
      <w:r>
        <w:rPr>
          <w:rFonts w:hint="eastAsia" w:ascii="仿宋_GB2312" w:hAnsi="仿宋_GB2312" w:eastAsia="仿宋_GB2312" w:cs="仿宋_GB2312"/>
          <w:sz w:val="32"/>
          <w:szCs w:val="32"/>
          <w:highlight w:val="none"/>
        </w:rPr>
        <w:t>增长</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。其中，一般公共预算拨款收入227.8万元，占本年收入100%，包括经费拨款166.8万元、行政事业单位资产收益拨款61万元。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收入增加原因：人员工资级别滚动增加，在职人员增加2人以及社保缴费基数提高。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2.支出预算情况。2024年度支出预算227.8万元，比上年预算增加20.31万元，增长9.8%。按支出功能分类本年支出预算构成为：其他卫生健康支出227.8万元，占本年支出100%。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按支出结构划分本年支出预算构成为：基本支出227.8万元，占总支出的100%。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支出增加原因：2024年基本支出比上年预算增加20.31万元，增长9.8%，主要是人员工资级别滚动增加，在职人员增加2人以及社保缴费基数提高。</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（二）财政拨款收支预算总体情况说明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2024年度财政拨款收支总预算227.8万元。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收入包括：一般公共预算当年拨款收入227.8万元，全部为一般公共预算拨款（无政府性基金预算及国有资本经营预算拨款）；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支出包括：卫生健康支出227.8万元，占100%。</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（三）一般公共预算支出情况说明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1、一般公共预算支出规模变化情况。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2024年度一般公共预算支出227.8万元，与上年预算相比，一般公共预算支出增加20.31万元，增长9.8%。主要原因：一是人员工资级别滚动增加；二是社保缴费基数提高。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2、一般公共预算支出结构情况。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2024年度一般公共预算支出227.8万元，主要用于以下方面：人员经费155.79万元，占68.39%；公用经费72.01万元，占31.61%。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3、一般公共预算支出具体使用情况。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卫生健康支出(类)卫生健康管理事务（款）其他卫生健康管理事务（项）2024年预算数为227.8万元，比上年预算增加20.31万元，增长9.8%。主要原因是人员工资级别滚动增加以及新增在职人员2名。</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（四）一般公共预算基本支出情况说明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2024年度一般公共预算基本支出227.8万元，其中：人员经费155.79万元，主要包括：基本工资39.03万元、津贴补贴7.82万元、奖金30万元、绩效工资23.16万元、机关事业单位基本养老保险缴费16.65万元、职业年金缴8.32 万元、职工基本医疗保险缴费13.5万元、住房公积金12万元、其他对个人和家庭的补助5.31万元；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公用经费72.01万元，主要包括：办公费5万元、工会经费2万元、福利费2.5万元、其他商品和服务支出62.51万元。</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 xml:space="preserve">（五）政府性基金预算支出情况说明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2024年本部门预算中没有使用政府性基金预算拨款安排的支出，故无此项预算，与上年对比无增减变化，与上年预算持平。</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（六）国有资本经营预算支出情况说明</w:t>
      </w:r>
    </w:p>
    <w:p>
      <w:pPr>
        <w:widowControl/>
        <w:numPr>
          <w:ilvl w:val="0"/>
          <w:numId w:val="0"/>
        </w:numPr>
        <w:spacing w:line="360" w:lineRule="auto"/>
        <w:ind w:firstLine="640" w:firstLineChars="200"/>
        <w:jc w:val="left"/>
        <w:rPr>
          <w:rFonts w:hint="eastAsia" w:ascii="仿宋" w:hAnsi="仿宋" w:eastAsia="仿宋" w:cs="宋体"/>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2024年本部门预算中没有使用国有资本经营预算拨款安排的支出，故无此项预算，与上年对比无增减变化，与上年预算持平。</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（七）项目支出预算情况说明</w:t>
      </w:r>
    </w:p>
    <w:p>
      <w:pPr>
        <w:adjustRightInd w:val="0"/>
        <w:snapToGrid w:val="0"/>
        <w:spacing w:line="580" w:lineRule="atLeas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2024年度预算共安排项目支出0万元，比上年减少18 万元，下降100%，减少原因主要是：减少更新业务用车项目。</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第四部分  机关运行经费安排情况说明</w:t>
      </w:r>
    </w:p>
    <w:p>
      <w:pPr>
        <w:adjustRightInd w:val="0"/>
        <w:snapToGrid w:val="0"/>
        <w:spacing w:line="580" w:lineRule="atLeas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2024年度机关运行经费机关运行经费预算总额为72.01万元，比上年增加10.19万元，增长16.48%，增加原因主要是：本年预算医学考试人数上升，故支出增加。</w:t>
      </w:r>
    </w:p>
    <w:p>
      <w:pPr>
        <w:adjustRightInd w:val="0"/>
        <w:snapToGrid w:val="0"/>
        <w:spacing w:line="580" w:lineRule="atLeas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2024年度机关运行经费预算包括：办公费5万元，工会经费2万元，福利费2.5万元，其他商品和服务支出62.51万元。</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第五部分  一般公共预算“三公”经费支出情况说明 </w:t>
      </w:r>
    </w:p>
    <w:p>
      <w:pPr>
        <w:widowControl/>
        <w:spacing w:line="360" w:lineRule="auto"/>
        <w:ind w:firstLine="643" w:firstLineChars="200"/>
        <w:jc w:val="left"/>
        <w:rPr>
          <w:rFonts w:hint="default"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（一）一般公共预算“三公”经费支出总体情况说明。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2024年“三公”经费一般公共预算0万元，比上年预算减少4万元，下降100%。主要原因：报废公务用车1辆，公务用车运行费用减少。</w:t>
      </w:r>
    </w:p>
    <w:p>
      <w:pPr>
        <w:widowControl/>
        <w:spacing w:line="360" w:lineRule="auto"/>
        <w:ind w:firstLine="643" w:firstLineChars="200"/>
        <w:jc w:val="left"/>
        <w:rPr>
          <w:rFonts w:hint="eastAsia" w:ascii="仿宋_GB2312" w:hAnsi="宋体"/>
          <w:b/>
          <w:bCs w:val="0"/>
          <w:sz w:val="32"/>
          <w:szCs w:val="32"/>
          <w:highlight w:val="none"/>
          <w:lang w:val="en-US" w:eastAsia="zh-CN"/>
        </w:rPr>
      </w:pPr>
      <w:r>
        <w:rPr>
          <w:rFonts w:hint="eastAsia" w:ascii="仿宋_GB2312" w:hAnsi="宋体"/>
          <w:b/>
          <w:bCs w:val="0"/>
          <w:sz w:val="32"/>
          <w:szCs w:val="32"/>
          <w:highlight w:val="none"/>
          <w:lang w:val="en-US" w:eastAsia="zh-CN"/>
        </w:rPr>
        <w:t>（二）一般公共预算“三公”经费支出具体情况说明。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1、因公出国(境)费预算0万元，比上年预算增加0万元，增长0%。与上年对比无增减变化，与上年预算持平；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2、公务用车购置及运行费预算0万元，比上年预算减少22万元，下降100%；其中：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(1)公务用车购置费0万元，比上年预算减少18万元，增长下降100%，主要原因是减少更新业务用车项目。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(2)公务用车运行费0万元，比上年预算减少4万元，下降100%，主要原因是公务用车1辆已报废，单位已</w:t>
      </w:r>
      <w:bookmarkStart w:id="0" w:name="_GoBack"/>
      <w:bookmarkEnd w:id="0"/>
      <w:r>
        <w:rPr>
          <w:rFonts w:hint="eastAsia" w:ascii="仿宋_GB2312" w:hAnsi="仿宋_GB2312" w:eastAsia="仿宋_GB2312" w:cs="仿宋_GB2312"/>
          <w:sz w:val="32"/>
          <w:szCs w:val="32"/>
          <w:highlight w:val="none"/>
          <w:lang w:val="en-US" w:eastAsia="zh-CN"/>
        </w:rPr>
        <w:t>无公务用车。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(3)公务接待费预算0万元，比上年预算增加0万元，增长0%。与上年对比无增减变化，与上年预算持平。</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第六部分  </w:t>
      </w:r>
      <w:r>
        <w:rPr>
          <w:rFonts w:hint="default" w:ascii="黑体" w:hAnsi="黑体" w:eastAsia="黑体" w:cs="黑体"/>
          <w:b/>
          <w:bCs/>
          <w:sz w:val="32"/>
          <w:szCs w:val="32"/>
          <w:u w:val="none"/>
          <w:lang w:val="en-US" w:eastAsia="zh-CN"/>
        </w:rPr>
        <w:t>政府采购</w:t>
      </w:r>
      <w:r>
        <w:rPr>
          <w:rFonts w:hint="eastAsia" w:ascii="黑体" w:hAnsi="黑体" w:eastAsia="黑体" w:cs="黑体"/>
          <w:b/>
          <w:bCs/>
          <w:sz w:val="32"/>
          <w:szCs w:val="32"/>
          <w:u w:val="none"/>
          <w:lang w:val="en-US" w:eastAsia="zh-CN"/>
        </w:rPr>
        <w:t>安排情况</w:t>
      </w:r>
      <w:r>
        <w:rPr>
          <w:rFonts w:hint="default" w:ascii="黑体" w:hAnsi="黑体" w:eastAsia="黑体" w:cs="黑体"/>
          <w:b/>
          <w:bCs/>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2024年本部门单位</w:t>
      </w:r>
      <w:r>
        <w:rPr>
          <w:rFonts w:hint="default" w:ascii="仿宋_GB2312" w:hAnsi="仿宋_GB2312" w:eastAsia="仿宋_GB2312" w:cs="仿宋_GB2312"/>
          <w:sz w:val="32"/>
          <w:szCs w:val="32"/>
          <w:highlight w:val="none"/>
          <w:lang w:val="en-US" w:eastAsia="zh-CN"/>
        </w:rPr>
        <w:t>编制政府采购预算</w:t>
      </w:r>
      <w:r>
        <w:rPr>
          <w:rFonts w:hint="eastAsia" w:ascii="仿宋_GB2312" w:hAnsi="仿宋_GB2312" w:eastAsia="仿宋_GB2312" w:cs="仿宋_GB2312"/>
          <w:sz w:val="32"/>
          <w:szCs w:val="32"/>
          <w:highlight w:val="none"/>
          <w:lang w:val="en-US" w:eastAsia="zh-CN"/>
        </w:rPr>
        <w:t>2.4万元，比上年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减少15.6万元，下降86.67%</w:t>
      </w:r>
      <w:r>
        <w:rPr>
          <w:rFonts w:hint="default" w:ascii="仿宋_GB2312" w:hAnsi="仿宋_GB2312" w:eastAsia="仿宋_GB2312" w:cs="仿宋_GB2312"/>
          <w:sz w:val="32"/>
          <w:szCs w:val="32"/>
          <w:highlight w:val="none"/>
          <w:lang w:val="en-US" w:eastAsia="zh-CN"/>
        </w:rPr>
        <w:t>。减少的主要原因：</w:t>
      </w:r>
      <w:r>
        <w:rPr>
          <w:rFonts w:hint="eastAsia" w:ascii="仿宋_GB2312" w:hAnsi="仿宋_GB2312" w:eastAsia="仿宋_GB2312" w:cs="仿宋_GB2312"/>
          <w:sz w:val="32"/>
          <w:szCs w:val="32"/>
          <w:highlight w:val="none"/>
          <w:lang w:val="en-US" w:eastAsia="zh-CN"/>
        </w:rPr>
        <w:t>减少更新业务用车项目</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其中：货物类政府采购预算</w:t>
      </w:r>
      <w:r>
        <w:rPr>
          <w:rFonts w:hint="eastAsia" w:ascii="仿宋_GB2312" w:hAnsi="仿宋_GB2312" w:eastAsia="仿宋_GB2312" w:cs="仿宋_GB2312"/>
          <w:sz w:val="32"/>
          <w:szCs w:val="32"/>
          <w:highlight w:val="none"/>
          <w:lang w:val="en-US" w:eastAsia="zh-CN"/>
        </w:rPr>
        <w:t>2.4</w:t>
      </w:r>
      <w:r>
        <w:rPr>
          <w:rFonts w:hint="default" w:ascii="仿宋_GB2312" w:hAnsi="仿宋_GB2312" w:eastAsia="仿宋_GB2312" w:cs="仿宋_GB2312"/>
          <w:sz w:val="32"/>
          <w:szCs w:val="32"/>
          <w:highlight w:val="none"/>
          <w:lang w:val="en-US" w:eastAsia="zh-CN"/>
        </w:rPr>
        <w:t>万元，主要是集中采购办公设备、复印纸等支出；工程类政府采购预算</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万元；服务类政府采购预算</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万元。</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第七部分  </w:t>
      </w:r>
      <w:r>
        <w:rPr>
          <w:rFonts w:hint="default" w:ascii="黑体" w:hAnsi="黑体" w:eastAsia="黑体" w:cs="黑体"/>
          <w:b/>
          <w:bCs/>
          <w:sz w:val="32"/>
          <w:szCs w:val="32"/>
          <w:u w:val="none"/>
          <w:lang w:val="en-US" w:eastAsia="zh-CN"/>
        </w:rPr>
        <w:t>国有资产占用情况</w:t>
      </w:r>
      <w:r>
        <w:rPr>
          <w:rFonts w:hint="eastAsia" w:ascii="黑体" w:hAnsi="黑体" w:eastAsia="黑体" w:cs="黑体"/>
          <w:b/>
          <w:bCs/>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截至2023年12月31日，本部门单位</w:t>
      </w:r>
      <w:r>
        <w:rPr>
          <w:rFonts w:hint="default" w:ascii="仿宋_GB2312" w:hAnsi="仿宋_GB2312" w:eastAsia="仿宋_GB2312" w:cs="仿宋_GB2312"/>
          <w:sz w:val="32"/>
          <w:szCs w:val="32"/>
          <w:highlight w:val="none"/>
          <w:lang w:val="en-US" w:eastAsia="zh-CN"/>
        </w:rPr>
        <w:t>占有房屋面积</w:t>
      </w:r>
      <w:r>
        <w:rPr>
          <w:rFonts w:hint="eastAsia" w:ascii="仿宋_GB2312" w:hAnsi="仿宋_GB2312" w:eastAsia="仿宋_GB2312" w:cs="仿宋_GB2312"/>
          <w:sz w:val="32"/>
          <w:szCs w:val="32"/>
          <w:highlight w:val="none"/>
          <w:lang w:val="en-US" w:eastAsia="zh-CN"/>
        </w:rPr>
        <w:t xml:space="preserve">     454.4</w:t>
      </w:r>
      <w:r>
        <w:rPr>
          <w:rFonts w:hint="default" w:ascii="仿宋_GB2312" w:hAnsi="仿宋_GB2312" w:eastAsia="仿宋_GB2312" w:cs="仿宋_GB2312"/>
          <w:sz w:val="32"/>
          <w:szCs w:val="32"/>
          <w:highlight w:val="none"/>
          <w:lang w:val="en-US" w:eastAsia="zh-CN"/>
        </w:rPr>
        <w:t>平方米</w:t>
      </w:r>
      <w:r>
        <w:rPr>
          <w:rFonts w:hint="eastAsia" w:ascii="仿宋_GB2312" w:hAnsi="仿宋_GB2312" w:eastAsia="仿宋_GB2312" w:cs="仿宋_GB2312"/>
          <w:sz w:val="32"/>
          <w:szCs w:val="32"/>
          <w:highlight w:val="none"/>
          <w:lang w:val="en-US" w:eastAsia="zh-CN"/>
        </w:rPr>
        <w:t>；单价50万元以上的通用设备0台（套）；单价 100 万元的以上专用设备0台（套）；现有公务用车0辆。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sz w:val="32"/>
          <w:szCs w:val="32"/>
          <w:highlight w:val="none"/>
          <w:lang w:eastAsia="zh-CN"/>
        </w:rPr>
      </w:pPr>
      <w:r>
        <w:rPr>
          <w:rFonts w:hint="eastAsia" w:ascii="仿宋_GB2312" w:hAnsi="仿宋_GB2312" w:eastAsia="仿宋_GB2312" w:cs="仿宋_GB2312"/>
          <w:sz w:val="32"/>
          <w:szCs w:val="32"/>
          <w:highlight w:val="none"/>
          <w:lang w:val="en-US" w:eastAsia="zh-CN"/>
        </w:rPr>
        <w:t>2024年部门预算安排购置：车辆0辆；单价 50 万元以上通用设备0台（套）；单价 100 万元以上专用设备0台（套）</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第八部分  重点项目预算绩效情况说明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2024年，本部门（单位）项目支出全面实施绩效目标管理，项目总预算0万元，0个项目，比上年减少18万元，下降100%。</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第九部分  其他需要说明的情况</w:t>
      </w:r>
    </w:p>
    <w:p>
      <w:pPr>
        <w:pStyle w:val="7"/>
        <w:numPr>
          <w:ilvl w:val="0"/>
          <w:numId w:val="0"/>
        </w:numPr>
        <w:ind w:firstLine="64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1、对空表的说明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2024年本单位预算中没有使用政府性基金预算拨款安排的支出，故政府性基金预算支出表无数据，与上年一致。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2024年本单位预算中没有使用项目支出，故项目支出表无数据，比上年减少18万元。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2024年本单位预算中没有国有资本经营预算安排的支出，故国有资本经营预算支出表无数据，与上年一致。</w:t>
      </w:r>
    </w:p>
    <w:p>
      <w:pPr>
        <w:pStyle w:val="7"/>
        <w:numPr>
          <w:ilvl w:val="0"/>
          <w:numId w:val="1"/>
        </w:numPr>
        <w:ind w:firstLine="64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对其他情况的说明</w:t>
      </w:r>
    </w:p>
    <w:p>
      <w:pPr>
        <w:pStyle w:val="7"/>
        <w:numPr>
          <w:ilvl w:val="0"/>
          <w:numId w:val="0"/>
        </w:num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（1）政府债务情况说明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2024年本部门（单位）无政府债务，与上年一致。</w:t>
      </w:r>
    </w:p>
    <w:p>
      <w:pPr>
        <w:pStyle w:val="7"/>
        <w:numPr>
          <w:ilvl w:val="0"/>
          <w:numId w:val="0"/>
        </w:num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（2）其他项目支出绩效情况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2024年本单位预算中没有其他项目支出。</w:t>
      </w:r>
    </w:p>
    <w:p>
      <w:pPr>
        <w:pStyle w:val="7"/>
        <w:numPr>
          <w:ilvl w:val="0"/>
          <w:numId w:val="0"/>
        </w:num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（3）预算公开管理文件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我单位预算公开管理情况说明在财务管理制度中载明，相关条款如下：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第十一条  本单位预决算信息</w:t>
      </w:r>
      <w:r>
        <w:rPr>
          <w:rFonts w:hint="default" w:ascii="仿宋_GB2312" w:hAnsi="仿宋_GB2312" w:eastAsia="仿宋_GB2312" w:cs="仿宋_GB2312"/>
          <w:sz w:val="32"/>
          <w:szCs w:val="32"/>
          <w:highlight w:val="none"/>
          <w:lang w:val="en-US" w:eastAsia="zh-CN"/>
        </w:rPr>
        <w:t>在批复后20日内</w:t>
      </w:r>
      <w:r>
        <w:rPr>
          <w:rFonts w:hint="eastAsia" w:ascii="仿宋_GB2312" w:hAnsi="仿宋_GB2312" w:eastAsia="仿宋_GB2312" w:cs="仿宋_GB2312"/>
          <w:sz w:val="32"/>
          <w:szCs w:val="32"/>
          <w:highlight w:val="none"/>
          <w:lang w:val="en-US" w:eastAsia="zh-CN"/>
        </w:rPr>
        <w:t>向社会公开，在市卫生健康委员会官方网站统一公开，网址为（http://wjw.huangshi.gov.cn/23gk_21/fdzdgknr/czzj/）。</w:t>
      </w:r>
      <w:r>
        <w:rPr>
          <w:rFonts w:hint="default" w:ascii="仿宋_GB2312" w:hAnsi="仿宋_GB2312" w:eastAsia="仿宋_GB2312" w:cs="仿宋_GB2312"/>
          <w:sz w:val="32"/>
          <w:szCs w:val="32"/>
          <w:highlight w:val="none"/>
          <w:lang w:val="en-US" w:eastAsia="zh-CN"/>
        </w:rPr>
        <w:t>预决算信息公开遵循依法依规、真实准确、积极稳妥、分级负责的原则</w:t>
      </w:r>
      <w:r>
        <w:rPr>
          <w:rFonts w:hint="eastAsia" w:ascii="仿宋_GB2312" w:hAnsi="仿宋_GB2312" w:eastAsia="仿宋_GB2312" w:cs="仿宋_GB2312"/>
          <w:sz w:val="32"/>
          <w:szCs w:val="32"/>
          <w:highlight w:val="none"/>
          <w:lang w:val="en-US" w:eastAsia="zh-CN"/>
        </w:rPr>
        <w:t>，并保持长期公开状态。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第十二条 本单位预决算信息公开内容包括：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（一）单位职责、机构设置、编制现状、年度主要工作任务等情况。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（二）预决算收支情况，包括一般公共预算收支情况、机关运行经费情况等，涵盖财政拨款收支、非财政拨款收支情况。预决算支出公开到功能分类的项级科目，按规定公开到经济分类科目。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三公”经费财政拨款预决算总额和分项数额、会议费和培训费预决算总额，并对增减变化的原因进行说明。“公务用车购置和运行费”公开为“公务用车购置费”和“公务用车运行费”。“三公”经费决算公开说明因公出国（境）团组数及人数，公务用车购置数及保有量，国内公务接待的批次、人数、经费总额以及“三公”经费增减变化原因等情况。会议费、培训费决算公开说明召开会议和组织培训的次数和人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（四）政府采购信息，包括政府采购预算总额和分项数额、采购文件、采购结果等。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（五）财政专项资金，包括财政专项资金政策、项目申报指南、资金分配结果等。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（六）逐步公开资产管理信息，包括占有使用国有资产的总体情况、分布构成、主要实物资产数据和资产变动情况，探索建立国有资产公开制度。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（七）逐步公开预算绩效信息，在部门预算中公开预算绩效目标，在部门决算中公开主要的民生项目和重点支出项目的绩效评价结果。</w:t>
      </w:r>
    </w:p>
    <w:p>
      <w:pPr>
        <w:pStyle w:val="7"/>
        <w:rPr>
          <w:rFonts w:hint="eastAsia" w:ascii="黑体" w:hAnsi="黑体" w:eastAsia="黑体" w:cs="黑体"/>
          <w:sz w:val="32"/>
          <w:szCs w:val="32"/>
          <w:lang w:val="en-US" w:eastAsia="zh-CN"/>
        </w:rPr>
      </w:pPr>
      <w:r>
        <w:rPr>
          <w:rFonts w:hint="eastAsia" w:ascii="黑体" w:hAnsi="黑体" w:eastAsia="黑体" w:cs="黑体"/>
          <w:b/>
          <w:bCs/>
          <w:sz w:val="32"/>
          <w:szCs w:val="32"/>
          <w:u w:val="none"/>
          <w:lang w:val="en-US" w:eastAsia="zh-CN"/>
        </w:rPr>
        <w:t>第十部分  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（二）“三公”经费：指使用一般公共预算财政拨款安排的因公出国(境)费、 公务用车购置及运行维护费和公务接待费。其中， 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（三）财政拨款(补助)收入：指从同级财政部门取得的财政预算资金。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（四）其他收入：指除上述“财政拨款收入”以外任务相应安排的资金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第十一部分  2024部门预算表</w:t>
      </w: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一、2024年收支总表</w:t>
      </w:r>
    </w:p>
    <w:p>
      <w:pPr>
        <w:numPr>
          <w:ilvl w:val="0"/>
          <w:numId w:val="0"/>
        </w:numPr>
        <w:ind w:firstLine="420" w:firstLineChars="200"/>
        <w:rPr>
          <w:rFonts w:hint="default" w:ascii="仿宋_GB2312" w:hAnsi="仿宋_GB2312" w:eastAsia="仿宋_GB2312" w:cs="仿宋_GB2312"/>
          <w:color w:val="000000"/>
          <w:spacing w:val="-6"/>
          <w:kern w:val="0"/>
          <w:sz w:val="32"/>
          <w:szCs w:val="32"/>
          <w:lang w:val="en-US" w:eastAsia="zh-CN" w:bidi="ar-SA"/>
        </w:rPr>
      </w:pPr>
      <w:r>
        <w:drawing>
          <wp:inline distT="0" distB="0" distL="114300" distR="114300">
            <wp:extent cx="5191125" cy="50387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191125" cy="5038725"/>
                    </a:xfrm>
                    <a:prstGeom prst="rect">
                      <a:avLst/>
                    </a:prstGeom>
                    <a:noFill/>
                    <a:ln>
                      <a:noFill/>
                    </a:ln>
                  </pic:spPr>
                </pic:pic>
              </a:graphicData>
            </a:graphic>
          </wp:inline>
        </w:drawing>
      </w: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二、2024年收入总表</w:t>
      </w:r>
    </w:p>
    <w:p>
      <w:pPr>
        <w:numPr>
          <w:ilvl w:val="0"/>
          <w:numId w:val="0"/>
        </w:numPr>
        <w:ind w:firstLine="420" w:firstLineChars="200"/>
        <w:rPr>
          <w:rFonts w:hint="default" w:ascii="仿宋_GB2312" w:hAnsi="仿宋_GB2312" w:eastAsia="仿宋_GB2312" w:cs="仿宋_GB2312"/>
          <w:color w:val="000000"/>
          <w:spacing w:val="-6"/>
          <w:kern w:val="0"/>
          <w:sz w:val="32"/>
          <w:szCs w:val="32"/>
          <w:lang w:val="en-US" w:eastAsia="zh-CN" w:bidi="ar-SA"/>
        </w:rPr>
      </w:pPr>
      <w:r>
        <w:drawing>
          <wp:inline distT="0" distB="0" distL="114300" distR="114300">
            <wp:extent cx="5264150" cy="794385"/>
            <wp:effectExtent l="0" t="0" r="1270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4150" cy="794385"/>
                    </a:xfrm>
                    <a:prstGeom prst="rect">
                      <a:avLst/>
                    </a:prstGeom>
                    <a:noFill/>
                    <a:ln>
                      <a:noFill/>
                    </a:ln>
                  </pic:spPr>
                </pic:pic>
              </a:graphicData>
            </a:graphic>
          </wp:inline>
        </w:drawing>
      </w: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三、2024年支出总表</w:t>
      </w:r>
    </w:p>
    <w:p>
      <w:pPr>
        <w:numPr>
          <w:ilvl w:val="0"/>
          <w:numId w:val="0"/>
        </w:numPr>
        <w:ind w:firstLine="420" w:firstLineChars="200"/>
        <w:rPr>
          <w:rFonts w:hint="default" w:ascii="仿宋_GB2312" w:hAnsi="仿宋_GB2312" w:eastAsia="仿宋_GB2312" w:cs="仿宋_GB2312"/>
          <w:color w:val="000000"/>
          <w:spacing w:val="-6"/>
          <w:kern w:val="0"/>
          <w:sz w:val="32"/>
          <w:szCs w:val="32"/>
          <w:lang w:val="en-US" w:eastAsia="zh-CN" w:bidi="ar-SA"/>
        </w:rPr>
      </w:pPr>
      <w:r>
        <w:drawing>
          <wp:inline distT="0" distB="0" distL="114300" distR="114300">
            <wp:extent cx="5272405" cy="100965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2405" cy="1009650"/>
                    </a:xfrm>
                    <a:prstGeom prst="rect">
                      <a:avLst/>
                    </a:prstGeom>
                    <a:noFill/>
                    <a:ln>
                      <a:noFill/>
                    </a:ln>
                  </pic:spPr>
                </pic:pic>
              </a:graphicData>
            </a:graphic>
          </wp:inline>
        </w:drawing>
      </w: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四、2024年财政拨款收支总表</w:t>
      </w:r>
    </w:p>
    <w:p>
      <w:pPr>
        <w:numPr>
          <w:ilvl w:val="0"/>
          <w:numId w:val="0"/>
        </w:numPr>
        <w:ind w:firstLine="420" w:firstLineChars="200"/>
        <w:rPr>
          <w:rFonts w:hint="eastAsia" w:ascii="仿宋_GB2312" w:hAnsi="仿宋_GB2312" w:eastAsia="仿宋_GB2312" w:cs="仿宋_GB2312"/>
          <w:color w:val="000000"/>
          <w:spacing w:val="-6"/>
          <w:kern w:val="0"/>
          <w:sz w:val="32"/>
          <w:szCs w:val="32"/>
          <w:lang w:val="en-US" w:eastAsia="zh-CN" w:bidi="ar-SA"/>
        </w:rPr>
      </w:pPr>
      <w:r>
        <w:drawing>
          <wp:inline distT="0" distB="0" distL="114300" distR="114300">
            <wp:extent cx="5029200" cy="487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029200" cy="4876800"/>
                    </a:xfrm>
                    <a:prstGeom prst="rect">
                      <a:avLst/>
                    </a:prstGeom>
                    <a:noFill/>
                    <a:ln>
                      <a:noFill/>
                    </a:ln>
                  </pic:spPr>
                </pic:pic>
              </a:graphicData>
            </a:graphic>
          </wp:inline>
        </w:drawing>
      </w: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五、2024年一般公共预算支出表</w:t>
      </w:r>
    </w:p>
    <w:p>
      <w:pPr>
        <w:numPr>
          <w:ilvl w:val="0"/>
          <w:numId w:val="0"/>
        </w:numPr>
        <w:ind w:firstLine="420" w:firstLineChars="200"/>
        <w:rPr>
          <w:rFonts w:hint="eastAsia" w:ascii="仿宋_GB2312" w:hAnsi="仿宋_GB2312" w:eastAsia="仿宋_GB2312" w:cs="仿宋_GB2312"/>
          <w:color w:val="000000"/>
          <w:spacing w:val="-6"/>
          <w:kern w:val="0"/>
          <w:sz w:val="32"/>
          <w:szCs w:val="32"/>
          <w:lang w:val="en-US" w:eastAsia="zh-CN" w:bidi="ar-SA"/>
        </w:rPr>
      </w:pPr>
      <w:r>
        <w:drawing>
          <wp:inline distT="0" distB="0" distL="114300" distR="114300">
            <wp:extent cx="5271135" cy="1176655"/>
            <wp:effectExtent l="0" t="0" r="571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1135" cy="1176655"/>
                    </a:xfrm>
                    <a:prstGeom prst="rect">
                      <a:avLst/>
                    </a:prstGeom>
                    <a:noFill/>
                    <a:ln>
                      <a:noFill/>
                    </a:ln>
                  </pic:spPr>
                </pic:pic>
              </a:graphicData>
            </a:graphic>
          </wp:inline>
        </w:drawing>
      </w:r>
    </w:p>
    <w:p>
      <w:pPr>
        <w:numPr>
          <w:ilvl w:val="0"/>
          <w:numId w:val="0"/>
        </w:numPr>
        <w:ind w:firstLine="616" w:firstLineChars="200"/>
        <w:rPr>
          <w:rFonts w:hint="eastAsia"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六、2024年一般公共预算基本支出表</w:t>
      </w:r>
    </w:p>
    <w:p>
      <w:pPr>
        <w:numPr>
          <w:ilvl w:val="0"/>
          <w:numId w:val="0"/>
        </w:numPr>
        <w:ind w:firstLine="420" w:firstLineChars="200"/>
      </w:pPr>
      <w:r>
        <w:drawing>
          <wp:inline distT="0" distB="0" distL="114300" distR="114300">
            <wp:extent cx="5271135" cy="3044190"/>
            <wp:effectExtent l="0" t="0" r="571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1135" cy="3044190"/>
                    </a:xfrm>
                    <a:prstGeom prst="rect">
                      <a:avLst/>
                    </a:prstGeom>
                    <a:noFill/>
                    <a:ln>
                      <a:noFill/>
                    </a:ln>
                  </pic:spPr>
                </pic:pic>
              </a:graphicData>
            </a:graphic>
          </wp:inline>
        </w:drawing>
      </w:r>
    </w:p>
    <w:p>
      <w:pPr>
        <w:numPr>
          <w:ilvl w:val="0"/>
          <w:numId w:val="0"/>
        </w:numPr>
        <w:ind w:firstLine="640" w:firstLineChars="20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七、</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年一般公共预算</w:t>
      </w:r>
      <w:r>
        <w:rPr>
          <w:rFonts w:hint="eastAsia" w:ascii="仿宋_GB2312" w:hAnsi="宋体" w:eastAsia="仿宋_GB2312"/>
          <w:bCs/>
          <w:sz w:val="32"/>
          <w:szCs w:val="32"/>
          <w:highlight w:val="none"/>
        </w:rPr>
        <w:t>“三公”经费支出表</w:t>
      </w:r>
    </w:p>
    <w:p>
      <w:pPr>
        <w:numPr>
          <w:ilvl w:val="0"/>
          <w:numId w:val="0"/>
        </w:numPr>
        <w:ind w:firstLine="420" w:firstLineChars="200"/>
      </w:pPr>
      <w:r>
        <w:drawing>
          <wp:inline distT="0" distB="0" distL="114300" distR="114300">
            <wp:extent cx="5274310" cy="1179195"/>
            <wp:effectExtent l="0" t="0" r="254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274310" cy="1179195"/>
                    </a:xfrm>
                    <a:prstGeom prst="rect">
                      <a:avLst/>
                    </a:prstGeom>
                    <a:noFill/>
                    <a:ln>
                      <a:noFill/>
                    </a:ln>
                  </pic:spPr>
                </pic:pic>
              </a:graphicData>
            </a:graphic>
          </wp:inline>
        </w:drawing>
      </w:r>
    </w:p>
    <w:p>
      <w:pPr>
        <w:numPr>
          <w:ilvl w:val="0"/>
          <w:numId w:val="0"/>
        </w:numPr>
        <w:ind w:firstLine="640" w:firstLineChars="20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八、</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政府性基金预算支出表</w:t>
      </w:r>
    </w:p>
    <w:p>
      <w:pPr>
        <w:numPr>
          <w:ilvl w:val="0"/>
          <w:numId w:val="0"/>
        </w:numPr>
        <w:ind w:firstLine="420" w:firstLineChars="200"/>
        <w:rPr>
          <w:rFonts w:hint="eastAsia" w:ascii="仿宋_GB2312" w:hAnsi="宋体" w:eastAsia="仿宋_GB2312"/>
          <w:bCs/>
          <w:sz w:val="32"/>
          <w:szCs w:val="32"/>
          <w:highlight w:val="none"/>
        </w:rPr>
      </w:pPr>
      <w:r>
        <w:drawing>
          <wp:inline distT="0" distB="0" distL="114300" distR="114300">
            <wp:extent cx="5271770" cy="1339215"/>
            <wp:effectExtent l="0" t="0" r="5080" b="133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5271770" cy="1339215"/>
                    </a:xfrm>
                    <a:prstGeom prst="rect">
                      <a:avLst/>
                    </a:prstGeom>
                    <a:noFill/>
                    <a:ln>
                      <a:noFill/>
                    </a:ln>
                  </pic:spPr>
                </pic:pic>
              </a:graphicData>
            </a:graphic>
          </wp:inline>
        </w:drawing>
      </w:r>
    </w:p>
    <w:p>
      <w:pPr>
        <w:numPr>
          <w:ilvl w:val="0"/>
          <w:numId w:val="0"/>
        </w:numPr>
        <w:ind w:firstLine="640" w:firstLineChars="200"/>
        <w:rPr>
          <w:rFonts w:hint="eastAsia" w:ascii="仿宋_GB2312" w:hAnsi="宋体" w:eastAsia="仿宋_GB2312"/>
          <w:bCs/>
          <w:sz w:val="32"/>
          <w:szCs w:val="32"/>
          <w:highlight w:val="none"/>
          <w:lang w:eastAsia="zh-CN"/>
        </w:rPr>
      </w:pPr>
    </w:p>
    <w:p>
      <w:pPr>
        <w:numPr>
          <w:ilvl w:val="0"/>
          <w:numId w:val="0"/>
        </w:numPr>
        <w:ind w:firstLine="640" w:firstLineChars="200"/>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eastAsia="zh-CN"/>
        </w:rPr>
        <w:t>九、</w:t>
      </w:r>
      <w:r>
        <w:rPr>
          <w:rFonts w:hint="eastAsia" w:ascii="黑体" w:hAnsi="黑体" w:eastAsia="黑体" w:cs="黑体"/>
          <w:b w:val="0"/>
          <w:bCs w:val="0"/>
          <w:sz w:val="32"/>
          <w:szCs w:val="32"/>
          <w:u w:val="none"/>
          <w:lang w:val="en-US" w:eastAsia="zh-CN"/>
        </w:rPr>
        <w:t>2024</w:t>
      </w:r>
      <w:r>
        <w:rPr>
          <w:rFonts w:hint="eastAsia" w:ascii="仿宋_GB2312" w:hAnsi="宋体" w:eastAsia="仿宋_GB2312"/>
          <w:bCs/>
          <w:sz w:val="32"/>
          <w:szCs w:val="32"/>
          <w:highlight w:val="none"/>
          <w:lang w:val="en-US" w:eastAsia="zh-CN"/>
        </w:rPr>
        <w:t>年项目支出表</w:t>
      </w:r>
    </w:p>
    <w:p>
      <w:pPr>
        <w:numPr>
          <w:ilvl w:val="0"/>
          <w:numId w:val="0"/>
        </w:numPr>
        <w:ind w:firstLine="420" w:firstLineChars="200"/>
        <w:rPr>
          <w:rFonts w:hint="eastAsia" w:ascii="仿宋_GB2312" w:hAnsi="宋体" w:eastAsia="仿宋_GB2312"/>
          <w:bCs/>
          <w:sz w:val="32"/>
          <w:szCs w:val="32"/>
          <w:highlight w:val="none"/>
          <w:lang w:val="en-US" w:eastAsia="zh-CN"/>
        </w:rPr>
      </w:pPr>
      <w:r>
        <w:drawing>
          <wp:inline distT="0" distB="0" distL="114300" distR="114300">
            <wp:extent cx="5264785" cy="772795"/>
            <wp:effectExtent l="0" t="0" r="1206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tretch>
                      <a:fillRect/>
                    </a:stretch>
                  </pic:blipFill>
                  <pic:spPr>
                    <a:xfrm>
                      <a:off x="0" y="0"/>
                      <a:ext cx="5264785" cy="772795"/>
                    </a:xfrm>
                    <a:prstGeom prst="rect">
                      <a:avLst/>
                    </a:prstGeom>
                    <a:noFill/>
                    <a:ln>
                      <a:noFill/>
                    </a:ln>
                  </pic:spPr>
                </pic:pic>
              </a:graphicData>
            </a:graphic>
          </wp:inline>
        </w:drawing>
      </w:r>
    </w:p>
    <w:p>
      <w:pPr>
        <w:numPr>
          <w:ilvl w:val="0"/>
          <w:numId w:val="0"/>
        </w:numPr>
        <w:ind w:firstLine="640" w:firstLineChars="200"/>
        <w:rPr>
          <w:rFonts w:hint="eastAsia" w:ascii="仿宋_GB2312" w:hAnsi="宋体"/>
          <w:bCs/>
          <w:sz w:val="32"/>
          <w:szCs w:val="32"/>
          <w:highlight w:val="none"/>
          <w:lang w:val="en-US" w:eastAsia="zh-CN"/>
        </w:rPr>
      </w:pPr>
    </w:p>
    <w:p>
      <w:pPr>
        <w:numPr>
          <w:ilvl w:val="0"/>
          <w:numId w:val="0"/>
        </w:numPr>
        <w:ind w:firstLine="640" w:firstLineChars="200"/>
        <w:rPr>
          <w:rFonts w:hint="eastAsia" w:ascii="仿宋_GB2312" w:hAnsi="宋体"/>
          <w:bCs/>
          <w:sz w:val="32"/>
          <w:szCs w:val="32"/>
          <w:highlight w:val="none"/>
          <w:lang w:val="en-US" w:eastAsia="zh-CN"/>
        </w:rPr>
      </w:pPr>
    </w:p>
    <w:p>
      <w:pPr>
        <w:numPr>
          <w:ilvl w:val="0"/>
          <w:numId w:val="0"/>
        </w:numPr>
        <w:ind w:firstLine="640" w:firstLineChars="200"/>
        <w:rPr>
          <w:rFonts w:hint="eastAsia" w:ascii="仿宋_GB2312" w:hAnsi="宋体"/>
          <w:bCs/>
          <w:sz w:val="32"/>
          <w:szCs w:val="32"/>
          <w:highlight w:val="none"/>
          <w:lang w:val="en-US" w:eastAsia="zh-CN"/>
        </w:rPr>
      </w:pPr>
    </w:p>
    <w:p>
      <w:pPr>
        <w:numPr>
          <w:ilvl w:val="0"/>
          <w:numId w:val="0"/>
        </w:numPr>
        <w:ind w:firstLine="640" w:firstLineChars="200"/>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t>十、</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年国有资本经营预算支出表</w:t>
      </w:r>
    </w:p>
    <w:p>
      <w:pPr>
        <w:numPr>
          <w:ilvl w:val="0"/>
          <w:numId w:val="0"/>
        </w:numPr>
        <w:ind w:firstLine="420" w:firstLineChars="200"/>
      </w:pPr>
      <w:r>
        <w:drawing>
          <wp:inline distT="0" distB="0" distL="114300" distR="114300">
            <wp:extent cx="5273675" cy="878840"/>
            <wp:effectExtent l="0" t="0" r="3175" b="165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5273675" cy="8788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第十二部分  </w:t>
      </w:r>
      <w:r>
        <w:rPr>
          <w:rFonts w:hint="eastAsia" w:ascii="黑体" w:hAnsi="黑体" w:eastAsia="黑体" w:cs="黑体"/>
          <w:b w:val="0"/>
          <w:bCs w:val="0"/>
          <w:sz w:val="32"/>
          <w:szCs w:val="32"/>
          <w:u w:val="none"/>
          <w:lang w:val="en-US" w:eastAsia="zh-CN"/>
        </w:rPr>
        <w:t>2024</w:t>
      </w:r>
      <w:r>
        <w:rPr>
          <w:rFonts w:hint="eastAsia" w:ascii="黑体" w:hAnsi="黑体" w:eastAsia="黑体" w:cs="黑体"/>
          <w:b/>
          <w:bCs/>
          <w:sz w:val="32"/>
          <w:szCs w:val="32"/>
          <w:u w:val="none"/>
          <w:lang w:val="en-US" w:eastAsia="zh-CN"/>
        </w:rPr>
        <w:t>年项目支出绩效目标批复表</w:t>
      </w:r>
    </w:p>
    <w:p>
      <w:pPr>
        <w:numPr>
          <w:ilvl w:val="0"/>
          <w:numId w:val="0"/>
        </w:numPr>
        <w:ind w:firstLine="616" w:firstLineChars="200"/>
        <w:rPr>
          <w:rFonts w:hint="default" w:ascii="仿宋_GB2312" w:hAnsi="仿宋_GB2312" w:eastAsia="仿宋_GB2312" w:cs="仿宋_GB2312"/>
          <w:color w:val="000000"/>
          <w:spacing w:val="-6"/>
          <w:kern w:val="0"/>
          <w:sz w:val="32"/>
          <w:szCs w:val="32"/>
          <w:lang w:val="en-US" w:eastAsia="zh-CN" w:bidi="ar-SA"/>
        </w:rPr>
      </w:pPr>
      <w:r>
        <w:rPr>
          <w:rFonts w:hint="eastAsia" w:ascii="仿宋_GB2312" w:hAnsi="仿宋_GB2312" w:eastAsia="仿宋_GB2312" w:cs="仿宋_GB2312"/>
          <w:color w:val="000000"/>
          <w:spacing w:val="-6"/>
          <w:kern w:val="0"/>
          <w:sz w:val="32"/>
          <w:szCs w:val="32"/>
          <w:lang w:val="en-US" w:eastAsia="zh-CN" w:bidi="ar-SA"/>
        </w:rPr>
        <w:t>2024年度本单位预算中没有项目支出。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4783"/>
    <w:multiLevelType w:val="singleLevel"/>
    <w:tmpl w:val="73B2478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OGY1NzY4YmNhNzY0ZmFkNzJmMmQ3MDAyZjY3YmMifQ=="/>
  </w:docVars>
  <w:rsids>
    <w:rsidRoot w:val="1B293CFF"/>
    <w:rsid w:val="1B293CFF"/>
    <w:rsid w:val="26A46D94"/>
    <w:rsid w:val="2B127E2F"/>
    <w:rsid w:val="2D7666C8"/>
    <w:rsid w:val="2F5C57A7"/>
    <w:rsid w:val="54125837"/>
    <w:rsid w:val="5BC95204"/>
    <w:rsid w:val="6E5E0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5">
    <w:name w:val="p0"/>
    <w:basedOn w:val="1"/>
    <w:qFormat/>
    <w:uiPriority w:val="0"/>
    <w:pPr>
      <w:widowControl/>
    </w:pPr>
    <w:rPr>
      <w:kern w:val="0"/>
      <w:szCs w:val="21"/>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2024-02-17T04:39:00Z</dcterms:created>
  <dc:creator>Administrator</dc:creator>
  <cp:lastModifiedBy>Administrator</cp:lastModifiedBy>
  <dcterms:modified xsi:type="dcterms:W3CDTF">2024-02-18T08:08:54Z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63DB8395BA2F4729B9DF4738A55903A9_11</vt:lpwstr>
  </property>
</Properties>
</file>