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36"/>
          <w:szCs w:val="36"/>
          <w:lang w:val="en-US" w:eastAsia="zh-CN"/>
        </w:rPr>
        <w:t>2024年度时珍杂志社部门预算公开情况说明</w:t>
      </w:r>
    </w:p>
    <w:p>
      <w:pPr>
        <w:ind w:firstLine="640"/>
        <w:jc w:val="both"/>
        <w:rPr>
          <w:rFonts w:hint="eastAsia" w:ascii="黑体" w:hAnsi="黑体" w:eastAsia="黑体" w:cs="黑体"/>
          <w:sz w:val="32"/>
          <w:szCs w:val="32"/>
          <w:lang w:val="en-US" w:eastAsia="zh-CN"/>
        </w:rPr>
      </w:pPr>
    </w:p>
    <w:p>
      <w:pPr>
        <w:numPr>
          <w:ilvl w:val="0"/>
          <w:numId w:val="0"/>
        </w:numPr>
        <w:ind w:firstLine="640" w:firstLineChars="200"/>
        <w:jc w:val="both"/>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目录</w:t>
      </w:r>
    </w:p>
    <w:p>
      <w:pPr>
        <w:numPr>
          <w:ilvl w:val="0"/>
          <w:numId w:val="0"/>
        </w:numPr>
        <w:ind w:firstLine="640" w:firstLineChars="200"/>
        <w:jc w:val="both"/>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一、部门（单位）主要职责</w:t>
      </w:r>
    </w:p>
    <w:p>
      <w:pPr>
        <w:numPr>
          <w:ilvl w:val="0"/>
          <w:numId w:val="0"/>
        </w:numPr>
        <w:ind w:firstLine="640" w:firstLineChars="200"/>
        <w:jc w:val="both"/>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二、</w:t>
      </w:r>
      <w:r>
        <w:rPr>
          <w:rFonts w:hint="eastAsia" w:ascii="黑体" w:hAnsi="黑体" w:eastAsia="黑体" w:cs="黑体"/>
          <w:b w:val="0"/>
          <w:bCs w:val="0"/>
          <w:sz w:val="32"/>
          <w:szCs w:val="32"/>
          <w:lang w:val="en-US" w:eastAsia="zh-CN"/>
        </w:rPr>
        <w:t>机构设置情况</w:t>
      </w:r>
    </w:p>
    <w:p>
      <w:pPr>
        <w:numPr>
          <w:ilvl w:val="0"/>
          <w:numId w:val="0"/>
        </w:numPr>
        <w:ind w:firstLine="640" w:firstLineChars="200"/>
        <w:jc w:val="both"/>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三、预算收支安排及增减变化情况</w:t>
      </w:r>
    </w:p>
    <w:p>
      <w:pPr>
        <w:numPr>
          <w:ilvl w:val="0"/>
          <w:numId w:val="0"/>
        </w:numPr>
        <w:ind w:firstLine="640" w:firstLineChars="200"/>
        <w:jc w:val="both"/>
        <w:rPr>
          <w:rFonts w:hint="eastAsia" w:ascii="仿宋_GB2312" w:hAnsi="宋体" w:eastAsia="仿宋_GB2312"/>
          <w:b w:val="0"/>
          <w:bCs w:val="0"/>
          <w:sz w:val="32"/>
          <w:szCs w:val="32"/>
          <w:highlight w:val="none"/>
          <w:lang w:val="en-US" w:eastAsia="zh-CN"/>
        </w:rPr>
      </w:pPr>
      <w:r>
        <w:rPr>
          <w:rFonts w:hint="eastAsia" w:ascii="黑体" w:hAnsi="黑体" w:eastAsia="黑体" w:cs="黑体"/>
          <w:b w:val="0"/>
          <w:bCs w:val="0"/>
          <w:sz w:val="32"/>
          <w:szCs w:val="32"/>
          <w:u w:val="none"/>
          <w:lang w:val="en-US" w:eastAsia="zh-CN"/>
        </w:rPr>
        <w:t>四、机关运行经费安排情况说明</w:t>
      </w:r>
    </w:p>
    <w:p>
      <w:pPr>
        <w:numPr>
          <w:ilvl w:val="0"/>
          <w:numId w:val="0"/>
        </w:numPr>
        <w:ind w:firstLine="640" w:firstLineChars="200"/>
        <w:jc w:val="both"/>
        <w:rPr>
          <w:rFonts w:hint="eastAsia" w:ascii="仿宋_GB2312" w:hAnsi="宋体" w:eastAsia="仿宋_GB2312"/>
          <w:b w:val="0"/>
          <w:bCs w:val="0"/>
          <w:sz w:val="32"/>
          <w:szCs w:val="32"/>
          <w:highlight w:val="none"/>
          <w:lang w:val="en-US" w:eastAsia="zh-CN"/>
        </w:rPr>
      </w:pPr>
      <w:r>
        <w:rPr>
          <w:rFonts w:hint="eastAsia" w:ascii="黑体" w:hAnsi="黑体" w:eastAsia="黑体" w:cs="黑体"/>
          <w:b w:val="0"/>
          <w:bCs w:val="0"/>
          <w:sz w:val="32"/>
          <w:szCs w:val="32"/>
          <w:u w:val="none"/>
          <w:lang w:val="en-US" w:eastAsia="zh-CN"/>
        </w:rPr>
        <w:t>五、一般公共预算“三公”经费支出情况说明</w:t>
      </w:r>
    </w:p>
    <w:p>
      <w:pPr>
        <w:numPr>
          <w:ilvl w:val="0"/>
          <w:numId w:val="0"/>
        </w:numPr>
        <w:ind w:firstLine="640" w:firstLineChars="200"/>
        <w:jc w:val="both"/>
        <w:rPr>
          <w:rFonts w:hint="eastAsia" w:ascii="仿宋_GB2312" w:hAnsi="宋体" w:eastAsia="仿宋_GB2312"/>
          <w:b w:val="0"/>
          <w:bCs w:val="0"/>
          <w:sz w:val="32"/>
          <w:szCs w:val="32"/>
          <w:highlight w:val="none"/>
          <w:lang w:val="en-US" w:eastAsia="zh-CN"/>
        </w:rPr>
      </w:pPr>
      <w:r>
        <w:rPr>
          <w:rFonts w:hint="eastAsia" w:ascii="黑体" w:hAnsi="黑体" w:eastAsia="黑体" w:cs="黑体"/>
          <w:b w:val="0"/>
          <w:bCs w:val="0"/>
          <w:sz w:val="32"/>
          <w:szCs w:val="32"/>
          <w:u w:val="none"/>
          <w:lang w:val="en-US" w:eastAsia="zh-CN"/>
        </w:rPr>
        <w:t>六、</w:t>
      </w:r>
      <w:r>
        <w:rPr>
          <w:rFonts w:hint="default" w:ascii="黑体" w:hAnsi="黑体" w:eastAsia="黑体" w:cs="黑体"/>
          <w:b w:val="0"/>
          <w:bCs w:val="0"/>
          <w:sz w:val="32"/>
          <w:szCs w:val="32"/>
          <w:u w:val="none"/>
          <w:lang w:val="en-US" w:eastAsia="zh-CN"/>
        </w:rPr>
        <w:t>政府采购</w:t>
      </w:r>
      <w:r>
        <w:rPr>
          <w:rFonts w:hint="eastAsia" w:ascii="黑体" w:hAnsi="黑体" w:eastAsia="黑体" w:cs="黑体"/>
          <w:b w:val="0"/>
          <w:bCs w:val="0"/>
          <w:sz w:val="32"/>
          <w:szCs w:val="32"/>
          <w:u w:val="none"/>
          <w:lang w:val="en-US" w:eastAsia="zh-CN"/>
        </w:rPr>
        <w:t>安排情况</w:t>
      </w:r>
      <w:r>
        <w:rPr>
          <w:rFonts w:hint="default" w:ascii="黑体" w:hAnsi="黑体" w:eastAsia="黑体" w:cs="黑体"/>
          <w:b w:val="0"/>
          <w:bCs w:val="0"/>
          <w:sz w:val="32"/>
          <w:szCs w:val="32"/>
          <w:u w:val="none"/>
          <w:lang w:val="en-US" w:eastAsia="zh-CN"/>
        </w:rPr>
        <w:t>说明</w:t>
      </w:r>
    </w:p>
    <w:p>
      <w:pPr>
        <w:numPr>
          <w:ilvl w:val="0"/>
          <w:numId w:val="0"/>
        </w:numPr>
        <w:ind w:firstLine="640" w:firstLineChars="200"/>
        <w:jc w:val="both"/>
        <w:rPr>
          <w:rFonts w:hint="eastAsia" w:ascii="仿宋_GB2312" w:hAnsi="宋体" w:eastAsia="仿宋_GB2312"/>
          <w:b w:val="0"/>
          <w:bCs w:val="0"/>
          <w:sz w:val="32"/>
          <w:szCs w:val="32"/>
          <w:highlight w:val="none"/>
          <w:lang w:val="en-US" w:eastAsia="zh-CN"/>
        </w:rPr>
      </w:pPr>
      <w:r>
        <w:rPr>
          <w:rFonts w:hint="eastAsia" w:ascii="黑体" w:hAnsi="黑体" w:eastAsia="黑体" w:cs="黑体"/>
          <w:b w:val="0"/>
          <w:bCs w:val="0"/>
          <w:sz w:val="32"/>
          <w:szCs w:val="32"/>
          <w:u w:val="none"/>
          <w:lang w:val="en-US" w:eastAsia="zh-CN"/>
        </w:rPr>
        <w:t>七、</w:t>
      </w:r>
      <w:r>
        <w:rPr>
          <w:rFonts w:hint="default" w:ascii="黑体" w:hAnsi="黑体" w:eastAsia="黑体" w:cs="黑体"/>
          <w:b w:val="0"/>
          <w:bCs w:val="0"/>
          <w:sz w:val="32"/>
          <w:szCs w:val="32"/>
          <w:u w:val="none"/>
          <w:lang w:val="en-US" w:eastAsia="zh-CN"/>
        </w:rPr>
        <w:t>国有资产占用情况</w:t>
      </w:r>
      <w:r>
        <w:rPr>
          <w:rFonts w:hint="eastAsia" w:ascii="黑体" w:hAnsi="黑体" w:eastAsia="黑体" w:cs="黑体"/>
          <w:b w:val="0"/>
          <w:bCs w:val="0"/>
          <w:sz w:val="32"/>
          <w:szCs w:val="32"/>
          <w:u w:val="none"/>
          <w:lang w:val="en-US" w:eastAsia="zh-CN"/>
        </w:rPr>
        <w:t>说明</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八、重点项目预算绩效情况说明</w:t>
      </w:r>
    </w:p>
    <w:p>
      <w:pPr>
        <w:numPr>
          <w:ilvl w:val="0"/>
          <w:numId w:val="0"/>
        </w:numPr>
        <w:ind w:firstLine="640" w:firstLineChars="200"/>
        <w:jc w:val="both"/>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九、其他需要说明的情况</w:t>
      </w:r>
    </w:p>
    <w:p>
      <w:pPr>
        <w:numPr>
          <w:ilvl w:val="0"/>
          <w:numId w:val="0"/>
        </w:numPr>
        <w:ind w:firstLine="640" w:firstLineChars="20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u w:val="none"/>
          <w:lang w:val="en-US" w:eastAsia="zh-CN"/>
        </w:rPr>
        <w:t>十、专业名词解释</w:t>
      </w:r>
    </w:p>
    <w:p>
      <w:pPr>
        <w:numPr>
          <w:ilvl w:val="0"/>
          <w:numId w:val="0"/>
        </w:numPr>
        <w:ind w:firstLine="640" w:firstLineChars="200"/>
        <w:jc w:val="both"/>
        <w:rPr>
          <w:rFonts w:hint="eastAsia" w:ascii="仿宋_GB2312" w:hAnsi="宋体" w:eastAsia="仿宋_GB2312"/>
          <w:b w:val="0"/>
          <w:bCs w:val="0"/>
          <w:sz w:val="32"/>
          <w:szCs w:val="32"/>
          <w:highlight w:val="none"/>
          <w:lang w:val="en-US" w:eastAsia="zh-CN"/>
        </w:rPr>
      </w:pPr>
      <w:r>
        <w:rPr>
          <w:rFonts w:hint="eastAsia" w:ascii="黑体" w:hAnsi="黑体" w:eastAsia="黑体" w:cs="黑体"/>
          <w:b w:val="0"/>
          <w:bCs w:val="0"/>
          <w:sz w:val="32"/>
          <w:szCs w:val="32"/>
          <w:u w:val="none"/>
          <w:lang w:val="en-US" w:eastAsia="zh-CN"/>
        </w:rPr>
        <w:t>十一、2024部门预算表</w:t>
      </w:r>
    </w:p>
    <w:p>
      <w:pPr>
        <w:numPr>
          <w:ilvl w:val="0"/>
          <w:numId w:val="0"/>
        </w:numPr>
        <w:ind w:firstLine="640" w:firstLineChars="200"/>
        <w:jc w:val="both"/>
        <w:rPr>
          <w:rFonts w:hint="eastAsia" w:ascii="仿宋_GB2312" w:hAnsi="宋体" w:eastAsia="仿宋_GB2312"/>
          <w:b w:val="0"/>
          <w:bCs w:val="0"/>
          <w:sz w:val="32"/>
          <w:szCs w:val="32"/>
          <w:highlight w:val="none"/>
          <w:lang w:val="en-US" w:eastAsia="zh-CN"/>
        </w:rPr>
      </w:pPr>
      <w:r>
        <w:rPr>
          <w:rFonts w:hint="eastAsia" w:ascii="黑体" w:hAnsi="黑体" w:eastAsia="黑体" w:cs="黑体"/>
          <w:b w:val="0"/>
          <w:bCs w:val="0"/>
          <w:sz w:val="32"/>
          <w:szCs w:val="32"/>
          <w:u w:val="none"/>
          <w:lang w:val="en-US" w:eastAsia="zh-CN"/>
        </w:rPr>
        <w:t>十二、2024年项目支出绩效目标批复表</w:t>
      </w:r>
    </w:p>
    <w:p>
      <w:pPr>
        <w:numPr>
          <w:ilvl w:val="0"/>
          <w:numId w:val="0"/>
        </w:numPr>
        <w:ind w:firstLine="640" w:firstLineChars="200"/>
        <w:jc w:val="both"/>
        <w:rPr>
          <w:rFonts w:hint="default" w:ascii="仿宋_GB2312" w:hAnsi="宋体" w:eastAsia="仿宋_GB2312"/>
          <w:bCs/>
          <w:sz w:val="32"/>
          <w:szCs w:val="32"/>
          <w:highlight w:val="none"/>
          <w:lang w:val="en-US" w:eastAsia="zh-CN"/>
        </w:rPr>
      </w:pPr>
    </w:p>
    <w:p>
      <w:pPr>
        <w:adjustRightInd w:val="0"/>
        <w:snapToGrid w:val="0"/>
        <w:spacing w:line="580" w:lineRule="atLeast"/>
        <w:ind w:firstLine="643" w:firstLineChars="200"/>
        <w:rPr>
          <w:rFonts w:hint="eastAsia" w:ascii="黑体" w:hAnsi="黑体" w:eastAsia="黑体" w:cs="黑体"/>
          <w:b/>
          <w:bCs/>
          <w:sz w:val="32"/>
          <w:szCs w:val="32"/>
          <w:u w:val="none"/>
          <w:lang w:val="en-US" w:eastAsia="zh-CN"/>
        </w:rPr>
      </w:pPr>
    </w:p>
    <w:p>
      <w:pPr>
        <w:adjustRightInd w:val="0"/>
        <w:snapToGrid w:val="0"/>
        <w:spacing w:line="580" w:lineRule="atLeast"/>
        <w:ind w:firstLine="643" w:firstLineChars="200"/>
        <w:rPr>
          <w:rFonts w:hint="eastAsia" w:ascii="黑体" w:hAnsi="黑体" w:eastAsia="黑体" w:cs="黑体"/>
          <w:b/>
          <w:bCs/>
          <w:sz w:val="32"/>
          <w:szCs w:val="32"/>
          <w:u w:val="none"/>
          <w:lang w:val="en-US" w:eastAsia="zh-CN"/>
        </w:rPr>
      </w:pPr>
    </w:p>
    <w:p>
      <w:pPr>
        <w:adjustRightInd w:val="0"/>
        <w:snapToGrid w:val="0"/>
        <w:spacing w:line="580" w:lineRule="atLeast"/>
        <w:ind w:firstLine="643" w:firstLineChars="200"/>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第一部分  部门（单位）主要职责</w:t>
      </w:r>
    </w:p>
    <w:p>
      <w:pPr>
        <w:adjustRightInd w:val="0"/>
        <w:snapToGrid w:val="0"/>
        <w:spacing w:line="580" w:lineRule="atLeast"/>
        <w:ind w:firstLine="640" w:firstLineChars="200"/>
        <w:rPr>
          <w:rFonts w:hint="eastAsia" w:ascii="黑体" w:hAnsi="黑体" w:eastAsia="黑体" w:cs="黑体"/>
          <w:b/>
          <w:bCs/>
          <w:sz w:val="32"/>
          <w:szCs w:val="32"/>
          <w:u w:val="none"/>
          <w:lang w:val="en-US" w:eastAsia="zh-CN"/>
        </w:rPr>
      </w:pPr>
      <w:r>
        <w:rPr>
          <w:rFonts w:hint="eastAsia" w:ascii="仿宋" w:hAnsi="仿宋" w:eastAsia="仿宋" w:cs="宋体"/>
          <w:b w:val="0"/>
          <w:bCs w:val="0"/>
          <w:kern w:val="0"/>
          <w:sz w:val="32"/>
          <w:szCs w:val="32"/>
          <w:lang w:val="en-US" w:eastAsia="zh-CN"/>
        </w:rPr>
        <w:t>按时保质完成全年12期出版任务，保持优势特色，确保连续入围“中文核心期刊”加强队伍建设，吸引优质稿源，提高期刊质量，确保在同类期刊中的优势，促进中医药事业发展。</w:t>
      </w:r>
    </w:p>
    <w:p>
      <w:pPr>
        <w:adjustRightInd w:val="0"/>
        <w:snapToGrid w:val="0"/>
        <w:spacing w:line="580" w:lineRule="atLeast"/>
        <w:ind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u w:val="none"/>
          <w:lang w:val="en-US" w:eastAsia="zh-CN"/>
        </w:rPr>
        <w:t xml:space="preserve">第二部分  </w:t>
      </w:r>
      <w:r>
        <w:rPr>
          <w:rFonts w:hint="eastAsia" w:ascii="黑体" w:hAnsi="黑体" w:eastAsia="黑体" w:cs="黑体"/>
          <w:b/>
          <w:bCs/>
          <w:sz w:val="32"/>
          <w:szCs w:val="32"/>
          <w:lang w:val="en-US" w:eastAsia="zh-CN"/>
        </w:rPr>
        <w:t>机构设置情况</w:t>
      </w:r>
    </w:p>
    <w:p>
      <w:pPr>
        <w:adjustRightInd w:val="0"/>
        <w:snapToGrid w:val="0"/>
        <w:spacing w:line="580" w:lineRule="atLeast"/>
        <w:ind w:firstLine="640" w:firstLineChars="200"/>
        <w:rPr>
          <w:rFonts w:hint="eastAsia" w:ascii="仿宋" w:hAnsi="仿宋" w:eastAsia="仿宋" w:cs="宋体"/>
          <w:b w:val="0"/>
          <w:bCs w:val="0"/>
          <w:kern w:val="0"/>
          <w:sz w:val="32"/>
          <w:szCs w:val="32"/>
          <w:lang w:val="en-US" w:eastAsia="zh-CN"/>
        </w:rPr>
      </w:pPr>
      <w:r>
        <w:rPr>
          <w:rFonts w:hint="eastAsia" w:ascii="仿宋" w:hAnsi="仿宋" w:eastAsia="仿宋" w:cs="宋体"/>
          <w:b w:val="0"/>
          <w:bCs w:val="0"/>
          <w:kern w:val="0"/>
          <w:sz w:val="32"/>
          <w:szCs w:val="32"/>
          <w:lang w:val="en-US" w:eastAsia="zh-CN"/>
        </w:rPr>
        <w:t>我单位是隶属于黄石市卫生健康委员会的二级单位，为公益二类事业单位，内设5个科室：社长室、总编室、综合办公室、编辑室、微机室。人员编制9人，</w:t>
      </w:r>
      <w:r>
        <w:rPr>
          <w:rFonts w:hint="default" w:ascii="仿宋" w:hAnsi="仿宋" w:eastAsia="仿宋" w:cs="宋体"/>
          <w:b w:val="0"/>
          <w:bCs w:val="0"/>
          <w:kern w:val="0"/>
          <w:sz w:val="32"/>
          <w:szCs w:val="32"/>
          <w:lang w:val="en-US" w:eastAsia="zh-CN"/>
        </w:rPr>
        <w:t>在职</w:t>
      </w:r>
      <w:r>
        <w:rPr>
          <w:rFonts w:hint="eastAsia" w:ascii="仿宋" w:hAnsi="仿宋" w:eastAsia="仿宋" w:cs="宋体"/>
          <w:b w:val="0"/>
          <w:bCs w:val="0"/>
          <w:kern w:val="0"/>
          <w:sz w:val="32"/>
          <w:szCs w:val="32"/>
          <w:lang w:val="en-US" w:eastAsia="zh-CN"/>
        </w:rPr>
        <w:t>5</w:t>
      </w:r>
      <w:r>
        <w:rPr>
          <w:rFonts w:hint="default" w:ascii="仿宋" w:hAnsi="仿宋" w:eastAsia="仿宋" w:cs="宋体"/>
          <w:b w:val="0"/>
          <w:bCs w:val="0"/>
          <w:kern w:val="0"/>
          <w:sz w:val="32"/>
          <w:szCs w:val="32"/>
          <w:lang w:val="en-US" w:eastAsia="zh-CN"/>
        </w:rPr>
        <w:t>人。目前实有人</w:t>
      </w:r>
      <w:r>
        <w:rPr>
          <w:rFonts w:hint="eastAsia" w:ascii="仿宋" w:hAnsi="仿宋" w:eastAsia="仿宋" w:cs="宋体"/>
          <w:b w:val="0"/>
          <w:bCs w:val="0"/>
          <w:kern w:val="0"/>
          <w:sz w:val="32"/>
          <w:szCs w:val="32"/>
          <w:lang w:val="en-US" w:eastAsia="zh-CN"/>
        </w:rPr>
        <w:t>数5</w:t>
      </w:r>
      <w:r>
        <w:rPr>
          <w:rFonts w:hint="default" w:ascii="仿宋" w:hAnsi="仿宋" w:eastAsia="仿宋" w:cs="宋体"/>
          <w:b w:val="0"/>
          <w:bCs w:val="0"/>
          <w:kern w:val="0"/>
          <w:sz w:val="32"/>
          <w:szCs w:val="32"/>
          <w:lang w:val="en-US" w:eastAsia="zh-CN"/>
        </w:rPr>
        <w:t>名，其中：在职人员</w:t>
      </w:r>
      <w:r>
        <w:rPr>
          <w:rFonts w:hint="eastAsia" w:ascii="仿宋" w:hAnsi="仿宋" w:eastAsia="仿宋" w:cs="宋体"/>
          <w:b w:val="0"/>
          <w:bCs w:val="0"/>
          <w:kern w:val="0"/>
          <w:sz w:val="32"/>
          <w:szCs w:val="32"/>
          <w:lang w:val="en-US" w:eastAsia="zh-CN"/>
        </w:rPr>
        <w:t>5</w:t>
      </w:r>
      <w:r>
        <w:rPr>
          <w:rFonts w:hint="default" w:ascii="仿宋" w:hAnsi="仿宋" w:eastAsia="仿宋" w:cs="宋体"/>
          <w:b w:val="0"/>
          <w:bCs w:val="0"/>
          <w:kern w:val="0"/>
          <w:sz w:val="32"/>
          <w:szCs w:val="32"/>
          <w:lang w:val="en-US" w:eastAsia="zh-CN"/>
        </w:rPr>
        <w:t>名，离退休人员</w:t>
      </w:r>
      <w:r>
        <w:rPr>
          <w:rFonts w:hint="eastAsia" w:ascii="仿宋" w:hAnsi="仿宋" w:eastAsia="仿宋" w:cs="宋体"/>
          <w:b w:val="0"/>
          <w:bCs w:val="0"/>
          <w:kern w:val="0"/>
          <w:sz w:val="32"/>
          <w:szCs w:val="32"/>
          <w:lang w:val="en-US" w:eastAsia="zh-CN"/>
        </w:rPr>
        <w:t>3</w:t>
      </w:r>
      <w:r>
        <w:rPr>
          <w:rFonts w:hint="default" w:ascii="仿宋" w:hAnsi="仿宋" w:eastAsia="仿宋" w:cs="宋体"/>
          <w:b w:val="0"/>
          <w:bCs w:val="0"/>
          <w:kern w:val="0"/>
          <w:sz w:val="32"/>
          <w:szCs w:val="32"/>
          <w:lang w:val="en-US" w:eastAsia="zh-CN"/>
        </w:rPr>
        <w:t>名，包括离休人员0名，退休人员</w:t>
      </w:r>
      <w:r>
        <w:rPr>
          <w:rFonts w:hint="eastAsia" w:ascii="仿宋" w:hAnsi="仿宋" w:eastAsia="仿宋" w:cs="宋体"/>
          <w:b w:val="0"/>
          <w:bCs w:val="0"/>
          <w:kern w:val="0"/>
          <w:sz w:val="32"/>
          <w:szCs w:val="32"/>
          <w:lang w:val="en-US" w:eastAsia="zh-CN"/>
        </w:rPr>
        <w:t>3</w:t>
      </w:r>
      <w:r>
        <w:rPr>
          <w:rFonts w:hint="default" w:ascii="仿宋" w:hAnsi="仿宋" w:eastAsia="仿宋" w:cs="宋体"/>
          <w:b w:val="0"/>
          <w:bCs w:val="0"/>
          <w:kern w:val="0"/>
          <w:sz w:val="32"/>
          <w:szCs w:val="32"/>
          <w:lang w:val="en-US" w:eastAsia="zh-CN"/>
        </w:rPr>
        <w:t>名</w:t>
      </w:r>
      <w:r>
        <w:rPr>
          <w:rFonts w:hint="eastAsia" w:ascii="仿宋" w:hAnsi="仿宋" w:eastAsia="仿宋" w:cs="宋体"/>
          <w:b w:val="0"/>
          <w:bCs w:val="0"/>
          <w:kern w:val="0"/>
          <w:sz w:val="32"/>
          <w:szCs w:val="32"/>
          <w:lang w:val="en-US" w:eastAsia="zh-CN"/>
        </w:rPr>
        <w:t>。</w:t>
      </w:r>
    </w:p>
    <w:p>
      <w:pPr>
        <w:adjustRightInd w:val="0"/>
        <w:snapToGrid w:val="0"/>
        <w:spacing w:line="580" w:lineRule="atLeast"/>
        <w:ind w:firstLine="643" w:firstLineChars="200"/>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第三部分  预算收支安排及增减变化情况</w:t>
      </w:r>
    </w:p>
    <w:p>
      <w:pPr>
        <w:adjustRightInd w:val="0"/>
        <w:snapToGrid w:val="0"/>
        <w:spacing w:line="580" w:lineRule="atLeast"/>
        <w:ind w:firstLine="643" w:firstLineChars="200"/>
        <w:rPr>
          <w:rFonts w:hint="eastAsia" w:ascii="仿宋_GB2312" w:hAnsi="宋体" w:eastAsia="仿宋_GB2312"/>
          <w:b/>
          <w:bCs w:val="0"/>
          <w:sz w:val="32"/>
          <w:szCs w:val="32"/>
          <w:highlight w:val="none"/>
          <w:lang w:val="en-US" w:eastAsia="zh-CN"/>
        </w:rPr>
      </w:pPr>
      <w:r>
        <w:rPr>
          <w:rFonts w:hint="eastAsia" w:ascii="仿宋_GB2312" w:hAnsi="宋体"/>
          <w:b/>
          <w:bCs w:val="0"/>
          <w:sz w:val="32"/>
          <w:szCs w:val="32"/>
          <w:highlight w:val="none"/>
          <w:lang w:val="en-US" w:eastAsia="zh-CN"/>
        </w:rPr>
        <w:t>（</w:t>
      </w:r>
      <w:r>
        <w:rPr>
          <w:rFonts w:hint="eastAsia" w:ascii="仿宋_GB2312" w:hAnsi="宋体" w:eastAsia="仿宋_GB2312"/>
          <w:b/>
          <w:bCs w:val="0"/>
          <w:sz w:val="32"/>
          <w:szCs w:val="32"/>
          <w:highlight w:val="none"/>
          <w:lang w:val="en-US" w:eastAsia="zh-CN"/>
        </w:rPr>
        <w:t>一</w:t>
      </w:r>
      <w:r>
        <w:rPr>
          <w:rFonts w:hint="eastAsia" w:ascii="仿宋_GB2312" w:hAnsi="宋体"/>
          <w:b/>
          <w:bCs w:val="0"/>
          <w:sz w:val="32"/>
          <w:szCs w:val="32"/>
          <w:highlight w:val="none"/>
          <w:lang w:val="en-US" w:eastAsia="zh-CN"/>
        </w:rPr>
        <w:t>）</w:t>
      </w:r>
      <w:r>
        <w:rPr>
          <w:rFonts w:hint="eastAsia" w:ascii="仿宋_GB2312" w:hAnsi="宋体" w:eastAsia="仿宋_GB2312"/>
          <w:b/>
          <w:bCs w:val="0"/>
          <w:sz w:val="32"/>
          <w:szCs w:val="32"/>
          <w:highlight w:val="none"/>
          <w:lang w:val="en-US" w:eastAsia="zh-CN"/>
        </w:rPr>
        <w:t>收</w:t>
      </w:r>
      <w:r>
        <w:rPr>
          <w:rFonts w:hint="eastAsia" w:ascii="仿宋_GB2312" w:hAnsi="宋体"/>
          <w:b/>
          <w:bCs w:val="0"/>
          <w:sz w:val="32"/>
          <w:szCs w:val="32"/>
          <w:highlight w:val="none"/>
          <w:lang w:val="en-US" w:eastAsia="zh-CN"/>
        </w:rPr>
        <w:t>入支出预算</w:t>
      </w:r>
      <w:r>
        <w:rPr>
          <w:rFonts w:hint="eastAsia" w:ascii="仿宋_GB2312" w:hAnsi="宋体" w:eastAsia="仿宋_GB2312"/>
          <w:b/>
          <w:bCs w:val="0"/>
          <w:sz w:val="32"/>
          <w:szCs w:val="32"/>
          <w:highlight w:val="none"/>
          <w:lang w:val="en-US" w:eastAsia="zh-CN"/>
        </w:rPr>
        <w:t>总体情况</w:t>
      </w:r>
      <w:r>
        <w:rPr>
          <w:rFonts w:hint="eastAsia" w:ascii="仿宋_GB2312" w:hAnsi="宋体"/>
          <w:b/>
          <w:bCs w:val="0"/>
          <w:sz w:val="32"/>
          <w:szCs w:val="32"/>
          <w:highlight w:val="none"/>
          <w:lang w:val="en-US" w:eastAsia="zh-CN"/>
        </w:rPr>
        <w:t>及增减变化情况</w:t>
      </w:r>
      <w:r>
        <w:rPr>
          <w:rFonts w:hint="eastAsia" w:ascii="仿宋_GB2312" w:hAnsi="宋体" w:eastAsia="仿宋_GB2312"/>
          <w:b/>
          <w:bCs w:val="0"/>
          <w:sz w:val="32"/>
          <w:szCs w:val="32"/>
          <w:highlight w:val="none"/>
          <w:lang w:val="en-US" w:eastAsia="zh-CN"/>
        </w:rPr>
        <w:t>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 w:lineRule="atLeast"/>
        <w:ind w:left="0" w:right="0" w:firstLine="616" w:firstLineChars="200"/>
        <w:jc w:val="left"/>
        <w:textAlignment w:val="auto"/>
        <w:rPr>
          <w:rFonts w:hint="default" w:ascii="仿宋_GB2312" w:hAnsi="仿宋_GB2312" w:eastAsia="仿宋_GB2312" w:cs="仿宋_GB2312"/>
          <w:color w:val="000000"/>
          <w:spacing w:val="-6"/>
          <w:kern w:val="0"/>
          <w:sz w:val="32"/>
          <w:szCs w:val="32"/>
          <w:lang w:val="en-US" w:eastAsia="zh-CN" w:bidi="ar-SA"/>
        </w:rPr>
      </w:pPr>
      <w:r>
        <w:rPr>
          <w:rFonts w:hint="eastAsia" w:ascii="仿宋_GB2312" w:hAnsi="仿宋_GB2312" w:eastAsia="仿宋_GB2312" w:cs="仿宋_GB2312"/>
          <w:color w:val="000000"/>
          <w:spacing w:val="-6"/>
          <w:kern w:val="0"/>
          <w:sz w:val="32"/>
          <w:szCs w:val="32"/>
          <w:lang w:val="en-US" w:eastAsia="zh-CN" w:bidi="ar-SA"/>
        </w:rPr>
        <w:t>按照综合预算的原则，时珍国医国药杂志社所有收入和支出均纳入部门预算管理。收入包括：一般公共预算拨款收入；支出包括：卫生健康支出；202</w:t>
      </w:r>
      <w:r>
        <w:rPr>
          <w:rFonts w:hint="eastAsia" w:ascii="仿宋_GB2312" w:hAnsi="仿宋_GB2312" w:cs="仿宋_GB2312"/>
          <w:color w:val="000000"/>
          <w:spacing w:val="-6"/>
          <w:kern w:val="0"/>
          <w:sz w:val="32"/>
          <w:szCs w:val="32"/>
          <w:lang w:val="en-US" w:eastAsia="zh-CN" w:bidi="ar-SA"/>
        </w:rPr>
        <w:t>4</w:t>
      </w:r>
      <w:r>
        <w:rPr>
          <w:rFonts w:hint="eastAsia" w:ascii="仿宋_GB2312" w:hAnsi="仿宋_GB2312" w:eastAsia="仿宋_GB2312" w:cs="仿宋_GB2312"/>
          <w:color w:val="000000"/>
          <w:spacing w:val="-6"/>
          <w:kern w:val="0"/>
          <w:sz w:val="32"/>
          <w:szCs w:val="32"/>
          <w:lang w:val="en-US" w:eastAsia="zh-CN" w:bidi="ar-SA"/>
        </w:rPr>
        <w:t>年度收支总预算10万元。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 w:lineRule="atLeast"/>
        <w:ind w:left="0" w:right="0" w:firstLine="616" w:firstLineChars="200"/>
        <w:jc w:val="left"/>
        <w:textAlignment w:val="auto"/>
        <w:rPr>
          <w:rFonts w:hint="eastAsia" w:ascii="仿宋_GB2312" w:hAnsi="仿宋_GB2312" w:eastAsia="仿宋_GB2312" w:cs="仿宋_GB2312"/>
          <w:color w:val="000000"/>
          <w:spacing w:val="-6"/>
          <w:kern w:val="0"/>
          <w:sz w:val="32"/>
          <w:szCs w:val="32"/>
          <w:lang w:val="en-US" w:eastAsia="zh-CN" w:bidi="ar-SA"/>
        </w:rPr>
      </w:pPr>
      <w:r>
        <w:rPr>
          <w:rFonts w:hint="eastAsia" w:ascii="仿宋_GB2312" w:hAnsi="仿宋_GB2312" w:eastAsia="仿宋_GB2312" w:cs="仿宋_GB2312"/>
          <w:color w:val="000000"/>
          <w:spacing w:val="-6"/>
          <w:kern w:val="0"/>
          <w:sz w:val="32"/>
          <w:szCs w:val="32"/>
          <w:lang w:val="en-US" w:eastAsia="zh-CN" w:bidi="ar-SA"/>
        </w:rPr>
        <w:t>其中：1、收入预算情况。202</w:t>
      </w:r>
      <w:r>
        <w:rPr>
          <w:rFonts w:hint="eastAsia" w:ascii="仿宋_GB2312" w:hAnsi="仿宋_GB2312" w:cs="仿宋_GB2312"/>
          <w:color w:val="000000"/>
          <w:spacing w:val="-6"/>
          <w:kern w:val="0"/>
          <w:sz w:val="32"/>
          <w:szCs w:val="32"/>
          <w:lang w:val="en-US" w:eastAsia="zh-CN" w:bidi="ar-SA"/>
        </w:rPr>
        <w:t>4</w:t>
      </w:r>
      <w:r>
        <w:rPr>
          <w:rFonts w:hint="eastAsia" w:ascii="仿宋_GB2312" w:hAnsi="仿宋_GB2312" w:eastAsia="仿宋_GB2312" w:cs="仿宋_GB2312"/>
          <w:color w:val="000000"/>
          <w:spacing w:val="-6"/>
          <w:kern w:val="0"/>
          <w:sz w:val="32"/>
          <w:szCs w:val="32"/>
          <w:lang w:val="en-US" w:eastAsia="zh-CN" w:bidi="ar-SA"/>
        </w:rPr>
        <w:t>年度收入预算10万元， 比上年预算增加10万元，增长0%。其中，一般公共预算拨款收入10万元，占本年收入100%，包括经费拨款10万元。当年度预算收入与上年对比无增减变化，与上年预算持平。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 w:lineRule="atLeast"/>
        <w:ind w:left="0" w:right="0" w:firstLine="616" w:firstLineChars="200"/>
        <w:jc w:val="left"/>
        <w:textAlignment w:val="auto"/>
        <w:rPr>
          <w:rFonts w:hint="eastAsia" w:ascii="仿宋_GB2312" w:hAnsi="仿宋_GB2312" w:eastAsia="仿宋_GB2312" w:cs="仿宋_GB2312"/>
          <w:color w:val="000000"/>
          <w:spacing w:val="-6"/>
          <w:kern w:val="0"/>
          <w:sz w:val="32"/>
          <w:szCs w:val="32"/>
          <w:lang w:val="en-US" w:eastAsia="zh-CN" w:bidi="ar-SA"/>
        </w:rPr>
      </w:pPr>
      <w:r>
        <w:rPr>
          <w:rFonts w:hint="eastAsia" w:ascii="仿宋_GB2312" w:hAnsi="仿宋_GB2312" w:eastAsia="仿宋_GB2312" w:cs="仿宋_GB2312"/>
          <w:color w:val="000000"/>
          <w:spacing w:val="-6"/>
          <w:kern w:val="0"/>
          <w:sz w:val="32"/>
          <w:szCs w:val="32"/>
          <w:lang w:val="en-US" w:eastAsia="zh-CN" w:bidi="ar-SA"/>
        </w:rPr>
        <w:t>2、支出预算情况。202</w:t>
      </w:r>
      <w:r>
        <w:rPr>
          <w:rFonts w:hint="eastAsia" w:ascii="仿宋_GB2312" w:hAnsi="仿宋_GB2312" w:cs="仿宋_GB2312"/>
          <w:color w:val="000000"/>
          <w:spacing w:val="-6"/>
          <w:kern w:val="0"/>
          <w:sz w:val="32"/>
          <w:szCs w:val="32"/>
          <w:lang w:val="en-US" w:eastAsia="zh-CN" w:bidi="ar-SA"/>
        </w:rPr>
        <w:t>4</w:t>
      </w:r>
      <w:r>
        <w:rPr>
          <w:rFonts w:hint="eastAsia" w:ascii="仿宋_GB2312" w:hAnsi="仿宋_GB2312" w:eastAsia="仿宋_GB2312" w:cs="仿宋_GB2312"/>
          <w:color w:val="000000"/>
          <w:spacing w:val="-6"/>
          <w:kern w:val="0"/>
          <w:sz w:val="32"/>
          <w:szCs w:val="32"/>
          <w:lang w:val="en-US" w:eastAsia="zh-CN" w:bidi="ar-SA"/>
        </w:rPr>
        <w:t>年度支出预算10万元比上年预算增加0万元，增长0%。按支出功能分类本年支出预算构成为：卫生健康支出10万元，占本年支出100%。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 w:lineRule="atLeast"/>
        <w:ind w:left="0" w:right="0" w:firstLine="616" w:firstLineChars="200"/>
        <w:jc w:val="left"/>
        <w:textAlignment w:val="auto"/>
        <w:rPr>
          <w:rFonts w:hint="eastAsia" w:ascii="仿宋_GB2312" w:hAnsi="仿宋_GB2312" w:eastAsia="仿宋_GB2312" w:cs="仿宋_GB2312"/>
          <w:color w:val="000000"/>
          <w:spacing w:val="-6"/>
          <w:kern w:val="0"/>
          <w:sz w:val="32"/>
          <w:szCs w:val="32"/>
          <w:lang w:val="en-US" w:eastAsia="zh-CN" w:bidi="ar-SA"/>
        </w:rPr>
      </w:pPr>
      <w:r>
        <w:rPr>
          <w:rFonts w:hint="eastAsia" w:ascii="仿宋_GB2312" w:hAnsi="仿宋_GB2312" w:eastAsia="仿宋_GB2312" w:cs="仿宋_GB2312"/>
          <w:color w:val="000000"/>
          <w:spacing w:val="-6"/>
          <w:kern w:val="0"/>
          <w:sz w:val="32"/>
          <w:szCs w:val="32"/>
          <w:lang w:val="en-US" w:eastAsia="zh-CN" w:bidi="ar-SA"/>
        </w:rPr>
        <w:t>按支出结构划分本年支出预算构成为：基本支出10万元，占总支出的100%。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 w:lineRule="atLeast"/>
        <w:ind w:left="0" w:right="0" w:firstLine="616" w:firstLineChars="200"/>
        <w:jc w:val="left"/>
        <w:textAlignment w:val="auto"/>
        <w:rPr>
          <w:rFonts w:hint="eastAsia" w:ascii="仿宋_GB2312" w:hAnsi="仿宋_GB2312" w:eastAsia="仿宋_GB2312" w:cs="仿宋_GB2312"/>
          <w:color w:val="000000"/>
          <w:spacing w:val="-6"/>
          <w:kern w:val="0"/>
          <w:sz w:val="32"/>
          <w:szCs w:val="32"/>
          <w:lang w:val="en-US" w:eastAsia="zh-CN" w:bidi="ar-SA"/>
        </w:rPr>
      </w:pPr>
      <w:r>
        <w:rPr>
          <w:rFonts w:hint="eastAsia" w:ascii="仿宋_GB2312" w:hAnsi="仿宋_GB2312" w:eastAsia="仿宋_GB2312" w:cs="仿宋_GB2312"/>
          <w:color w:val="000000"/>
          <w:spacing w:val="-6"/>
          <w:kern w:val="0"/>
          <w:sz w:val="32"/>
          <w:szCs w:val="32"/>
          <w:lang w:val="en-US" w:eastAsia="zh-CN" w:bidi="ar-SA"/>
        </w:rPr>
        <w:t>当年度预算支出与上年对比无增减变化，与上年预算持平。</w:t>
      </w:r>
    </w:p>
    <w:p>
      <w:pPr>
        <w:numPr>
          <w:ilvl w:val="0"/>
          <w:numId w:val="1"/>
        </w:numPr>
        <w:bidi w:val="0"/>
        <w:ind w:firstLine="643" w:firstLineChars="200"/>
        <w:rPr>
          <w:rFonts w:hint="eastAsia"/>
          <w:b/>
          <w:bCs/>
          <w:lang w:val="en-US" w:eastAsia="zh-CN"/>
        </w:rPr>
      </w:pPr>
      <w:r>
        <w:rPr>
          <w:rFonts w:hint="eastAsia"/>
          <w:b/>
          <w:bCs/>
          <w:lang w:val="en-US" w:eastAsia="zh-CN"/>
        </w:rPr>
        <w:t>财政拨款收支预算总体情况说明</w:t>
      </w:r>
    </w:p>
    <w:p>
      <w:pPr>
        <w:numPr>
          <w:ilvl w:val="0"/>
          <w:numId w:val="0"/>
        </w:numPr>
        <w:bidi w:val="0"/>
        <w:ind w:firstLine="616" w:firstLineChars="200"/>
        <w:rPr>
          <w:rFonts w:hint="eastAsia" w:ascii="仿宋_GB2312" w:hAnsi="仿宋_GB2312" w:eastAsia="仿宋_GB2312" w:cs="仿宋_GB2312"/>
          <w:color w:val="000000"/>
          <w:spacing w:val="-6"/>
          <w:kern w:val="0"/>
          <w:sz w:val="32"/>
          <w:szCs w:val="32"/>
          <w:lang w:val="en-US" w:eastAsia="zh-CN" w:bidi="ar-SA"/>
        </w:rPr>
      </w:pPr>
      <w:r>
        <w:rPr>
          <w:rFonts w:hint="eastAsia" w:ascii="仿宋_GB2312" w:hAnsi="仿宋_GB2312" w:eastAsia="仿宋_GB2312" w:cs="仿宋_GB2312"/>
          <w:color w:val="000000"/>
          <w:spacing w:val="-6"/>
          <w:kern w:val="0"/>
          <w:sz w:val="32"/>
          <w:szCs w:val="32"/>
          <w:lang w:val="en-US" w:eastAsia="zh-CN" w:bidi="ar-SA"/>
        </w:rPr>
        <w:t>202</w:t>
      </w:r>
      <w:r>
        <w:rPr>
          <w:rFonts w:hint="eastAsia" w:ascii="仿宋_GB2312" w:hAnsi="仿宋_GB2312" w:cs="仿宋_GB2312"/>
          <w:color w:val="000000"/>
          <w:spacing w:val="-6"/>
          <w:kern w:val="0"/>
          <w:sz w:val="32"/>
          <w:szCs w:val="32"/>
          <w:lang w:val="en-US" w:eastAsia="zh-CN" w:bidi="ar-SA"/>
        </w:rPr>
        <w:t>4</w:t>
      </w:r>
      <w:r>
        <w:rPr>
          <w:rFonts w:hint="eastAsia" w:ascii="仿宋_GB2312" w:hAnsi="仿宋_GB2312" w:eastAsia="仿宋_GB2312" w:cs="仿宋_GB2312"/>
          <w:color w:val="000000"/>
          <w:spacing w:val="-6"/>
          <w:kern w:val="0"/>
          <w:sz w:val="32"/>
          <w:szCs w:val="32"/>
          <w:lang w:val="en-US" w:eastAsia="zh-CN" w:bidi="ar-SA"/>
        </w:rPr>
        <w:t>年度财政拨款收支总预算10万元，收入全部为一般公共预算拨款（无政府性基金预算及国有资本经营预算拨款）。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 w:lineRule="atLeast"/>
        <w:ind w:left="0" w:right="0" w:firstLine="616" w:firstLineChars="200"/>
        <w:jc w:val="left"/>
        <w:textAlignment w:val="auto"/>
        <w:rPr>
          <w:rFonts w:hint="eastAsia" w:ascii="仿宋_GB2312" w:hAnsi="仿宋_GB2312" w:eastAsia="仿宋_GB2312" w:cs="仿宋_GB2312"/>
          <w:color w:val="000000"/>
          <w:spacing w:val="-6"/>
          <w:kern w:val="0"/>
          <w:sz w:val="32"/>
          <w:szCs w:val="32"/>
          <w:lang w:val="en-US" w:eastAsia="zh-CN" w:bidi="ar-SA"/>
        </w:rPr>
      </w:pPr>
      <w:r>
        <w:rPr>
          <w:rFonts w:hint="eastAsia" w:ascii="仿宋_GB2312" w:hAnsi="仿宋_GB2312" w:eastAsia="仿宋_GB2312" w:cs="仿宋_GB2312"/>
          <w:color w:val="000000"/>
          <w:spacing w:val="-6"/>
          <w:kern w:val="0"/>
          <w:sz w:val="32"/>
          <w:szCs w:val="32"/>
          <w:lang w:val="en-US" w:eastAsia="zh-CN" w:bidi="ar-SA"/>
        </w:rPr>
        <w:t>支出包括：卫生健康支出10万元，占100%。</w:t>
      </w:r>
    </w:p>
    <w:p>
      <w:pPr>
        <w:numPr>
          <w:ilvl w:val="0"/>
          <w:numId w:val="0"/>
        </w:numPr>
        <w:bidi w:val="0"/>
        <w:ind w:firstLine="643" w:firstLineChars="200"/>
        <w:rPr>
          <w:rFonts w:hint="eastAsia"/>
          <w:b/>
          <w:bCs/>
          <w:lang w:val="en-US" w:eastAsia="zh-CN"/>
        </w:rPr>
      </w:pPr>
      <w:r>
        <w:rPr>
          <w:rFonts w:hint="eastAsia"/>
          <w:b/>
          <w:bCs/>
          <w:lang w:val="en-US" w:eastAsia="zh-CN"/>
        </w:rPr>
        <w:t>（三）一般公共预算支出情况说明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楷体" w:hAnsi="楷体" w:eastAsia="楷体" w:cs="楷体"/>
          <w:bCs/>
          <w:kern w:val="44"/>
          <w:sz w:val="32"/>
          <w:szCs w:val="32"/>
          <w:highlight w:val="none"/>
        </w:rPr>
      </w:pPr>
      <w:r>
        <w:rPr>
          <w:rFonts w:hint="eastAsia"/>
          <w:lang w:val="en-US" w:eastAsia="zh-CN"/>
        </w:rPr>
        <w:t>1、一般公共预算支出规模变化</w:t>
      </w:r>
      <w:r>
        <w:rPr>
          <w:rFonts w:hint="eastAsia" w:ascii="楷体" w:hAnsi="楷体" w:eastAsia="楷体" w:cs="楷体"/>
          <w:bCs/>
          <w:kern w:val="44"/>
          <w:sz w:val="32"/>
          <w:szCs w:val="32"/>
          <w:highlight w:val="none"/>
        </w:rPr>
        <w:t>情况。</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lang w:val="en-US" w:eastAsia="zh-CN"/>
        </w:rPr>
      </w:pPr>
      <w:r>
        <w:rPr>
          <w:rFonts w:hint="eastAsia"/>
          <w:lang w:val="en-US" w:eastAsia="zh-CN"/>
        </w:rPr>
        <w:t>2024年度一般公共预算支出10万元，与上年预算相比，一般公共预算支出增加0万元，增长0%。与上年对比无增减变化，与上年预算持平。</w:t>
      </w:r>
    </w:p>
    <w:p>
      <w:pPr>
        <w:pageBreakBefore w:val="0"/>
        <w:widowControl w:val="0"/>
        <w:numPr>
          <w:ilvl w:val="0"/>
          <w:numId w:val="0"/>
        </w:numPr>
        <w:kinsoku/>
        <w:wordWrap/>
        <w:overflowPunct/>
        <w:topLinePunct w:val="0"/>
        <w:bidi w:val="0"/>
        <w:adjustRightInd w:val="0"/>
        <w:snapToGrid w:val="0"/>
        <w:spacing w:line="360" w:lineRule="auto"/>
        <w:ind w:firstLine="640" w:firstLineChars="200"/>
        <w:textAlignment w:val="auto"/>
        <w:rPr>
          <w:rFonts w:hint="eastAsia" w:ascii="楷体" w:hAnsi="楷体" w:eastAsia="楷体" w:cs="楷体"/>
          <w:bCs/>
          <w:kern w:val="44"/>
          <w:sz w:val="32"/>
          <w:szCs w:val="32"/>
          <w:highlight w:val="none"/>
        </w:rPr>
      </w:pPr>
      <w:r>
        <w:rPr>
          <w:rFonts w:hint="eastAsia"/>
          <w:lang w:val="en-US" w:eastAsia="zh-CN"/>
        </w:rPr>
        <w:t>2、一般公共预算支出</w:t>
      </w:r>
      <w:r>
        <w:rPr>
          <w:rFonts w:hint="eastAsia" w:ascii="楷体" w:hAnsi="楷体" w:eastAsia="楷体" w:cs="楷体"/>
          <w:bCs/>
          <w:kern w:val="44"/>
          <w:sz w:val="32"/>
          <w:szCs w:val="32"/>
          <w:highlight w:val="none"/>
        </w:rPr>
        <w:t>结构情况。</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lang w:val="en-US" w:eastAsia="zh-CN"/>
        </w:rPr>
      </w:pPr>
      <w:r>
        <w:rPr>
          <w:rFonts w:hint="eastAsia"/>
          <w:lang w:val="en-US" w:eastAsia="zh-CN"/>
        </w:rPr>
        <w:t>2024年度一般公共预算支出10万元，主要用于以下方面：卫生健康支出（类）10万元，占100%。与上年对比无增减变化，与上年预算持平。</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楷体" w:hAnsi="楷体" w:eastAsia="楷体" w:cs="楷体"/>
          <w:bCs/>
          <w:kern w:val="44"/>
          <w:sz w:val="32"/>
          <w:szCs w:val="32"/>
          <w:highlight w:val="none"/>
        </w:rPr>
      </w:pPr>
      <w:r>
        <w:rPr>
          <w:rFonts w:hint="eastAsia"/>
          <w:lang w:val="en-US" w:eastAsia="zh-CN"/>
        </w:rPr>
        <w:t>3、一般公共预算支出</w:t>
      </w:r>
      <w:r>
        <w:rPr>
          <w:rFonts w:hint="eastAsia" w:ascii="楷体" w:hAnsi="楷体" w:eastAsia="楷体" w:cs="楷体"/>
          <w:bCs/>
          <w:kern w:val="44"/>
          <w:sz w:val="32"/>
          <w:szCs w:val="32"/>
          <w:highlight w:val="none"/>
        </w:rPr>
        <w:t>具体</w:t>
      </w:r>
      <w:r>
        <w:rPr>
          <w:rFonts w:hint="eastAsia" w:ascii="楷体" w:hAnsi="楷体" w:eastAsia="楷体" w:cs="楷体"/>
          <w:bCs/>
          <w:kern w:val="44"/>
          <w:sz w:val="32"/>
          <w:szCs w:val="32"/>
          <w:highlight w:val="none"/>
          <w:lang w:val="en-US" w:eastAsia="zh-CN"/>
        </w:rPr>
        <w:t>使用</w:t>
      </w:r>
      <w:r>
        <w:rPr>
          <w:rFonts w:hint="eastAsia" w:ascii="楷体" w:hAnsi="楷体" w:eastAsia="楷体" w:cs="楷体"/>
          <w:bCs/>
          <w:kern w:val="44"/>
          <w:sz w:val="32"/>
          <w:szCs w:val="32"/>
          <w:highlight w:val="none"/>
        </w:rPr>
        <w:t>情况。</w:t>
      </w:r>
    </w:p>
    <w:p>
      <w:pPr>
        <w:pageBreakBefore w:val="0"/>
        <w:widowControl w:val="0"/>
        <w:kinsoku/>
        <w:wordWrap/>
        <w:overflowPunct/>
        <w:topLinePunct w:val="0"/>
        <w:bidi w:val="0"/>
        <w:adjustRightInd w:val="0"/>
        <w:snapToGrid w:val="0"/>
        <w:spacing w:line="360" w:lineRule="auto"/>
        <w:ind w:firstLine="640" w:firstLineChars="200"/>
        <w:textAlignment w:val="auto"/>
        <w:rPr>
          <w:rFonts w:hint="default"/>
          <w:lang w:val="en-US" w:eastAsia="zh-CN"/>
        </w:rPr>
      </w:pPr>
      <w:r>
        <w:rPr>
          <w:rFonts w:hint="eastAsia"/>
          <w:lang w:val="en-US" w:eastAsia="zh-CN"/>
        </w:rPr>
        <w:t>（1）卫生健康支出(类)其他卫生健康支出（款）其他卫生健康支出（项）2024年预算数为10万元，比上年预算增加0万元，增长0%。与上年对比无增减变化，与上年预算持平。</w:t>
      </w:r>
    </w:p>
    <w:p>
      <w:pPr>
        <w:bidi w:val="0"/>
        <w:ind w:firstLine="643" w:firstLineChars="200"/>
        <w:rPr>
          <w:rFonts w:hint="eastAsia"/>
          <w:b/>
          <w:bCs/>
          <w:lang w:val="en-US" w:eastAsia="zh-CN"/>
        </w:rPr>
      </w:pPr>
      <w:r>
        <w:rPr>
          <w:rFonts w:hint="eastAsia"/>
          <w:b/>
          <w:bCs/>
          <w:lang w:val="en-US" w:eastAsia="zh-CN"/>
        </w:rPr>
        <w:t>（四）一般公共预算基本支出情况说明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lang w:val="en-US" w:eastAsia="zh-CN"/>
        </w:rPr>
      </w:pPr>
      <w:r>
        <w:rPr>
          <w:rFonts w:hint="eastAsia"/>
          <w:lang w:val="en-US" w:eastAsia="zh-CN"/>
        </w:rPr>
        <w:t>2024年度一般公共预算基本支出10万元，其中：</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lang w:val="en-US" w:eastAsia="zh-CN"/>
        </w:rPr>
      </w:pPr>
      <w:r>
        <w:rPr>
          <w:rFonts w:hint="eastAsia"/>
          <w:lang w:val="en-US" w:eastAsia="zh-CN"/>
        </w:rPr>
        <w:t>人员经费10万元，主要包括：基本工资10万元；</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lang w:val="en-US" w:eastAsia="zh-CN"/>
        </w:rPr>
      </w:pPr>
      <w:r>
        <w:rPr>
          <w:rFonts w:hint="eastAsia"/>
          <w:lang w:val="en-US" w:eastAsia="zh-CN"/>
        </w:rPr>
        <w:t>公用经费0万元。</w:t>
      </w:r>
    </w:p>
    <w:p>
      <w:pPr>
        <w:numPr>
          <w:ilvl w:val="0"/>
          <w:numId w:val="0"/>
        </w:numPr>
        <w:bidi w:val="0"/>
        <w:ind w:firstLine="643" w:firstLineChars="200"/>
        <w:rPr>
          <w:rFonts w:hint="eastAsia" w:ascii="仿宋_GB2312" w:hAnsi="仿宋_GB2312" w:eastAsia="仿宋_GB2312" w:cs="仿宋_GB2312"/>
          <w:b/>
          <w:bCs/>
          <w:sz w:val="32"/>
          <w:szCs w:val="32"/>
          <w:lang w:val="en-US" w:eastAsia="zh-CN"/>
        </w:rPr>
      </w:pPr>
      <w:r>
        <w:rPr>
          <w:rFonts w:hint="eastAsia"/>
          <w:b/>
          <w:bCs/>
          <w:lang w:val="en-US" w:eastAsia="zh-CN"/>
        </w:rPr>
        <w:t xml:space="preserve">（五）政府性基金预算支出情况说明 </w:t>
      </w:r>
    </w:p>
    <w:p>
      <w:pPr>
        <w:pageBreakBefore w:val="0"/>
        <w:widowControl w:val="0"/>
        <w:kinsoku/>
        <w:wordWrap/>
        <w:overflowPunct/>
        <w:topLinePunct w:val="0"/>
        <w:bidi w:val="0"/>
        <w:adjustRightInd w:val="0"/>
        <w:snapToGrid w:val="0"/>
        <w:spacing w:line="360" w:lineRule="auto"/>
        <w:ind w:firstLine="640" w:firstLineChars="200"/>
        <w:textAlignment w:val="auto"/>
        <w:rPr>
          <w:rFonts w:hint="default"/>
          <w:lang w:val="en-US" w:eastAsia="zh-CN"/>
        </w:rPr>
      </w:pPr>
      <w:r>
        <w:rPr>
          <w:rFonts w:hint="eastAsia"/>
          <w:lang w:val="en-US" w:eastAsia="zh-CN"/>
        </w:rPr>
        <w:t>2024年本单位预算中没有使用政府性基金预算拨款安排的支出，故无此项预算，与上年对比无增减变化，与上年预算持平。</w:t>
      </w:r>
    </w:p>
    <w:p>
      <w:pPr>
        <w:numPr>
          <w:ilvl w:val="0"/>
          <w:numId w:val="0"/>
        </w:numPr>
        <w:bidi w:val="0"/>
        <w:ind w:firstLine="643" w:firstLineChars="200"/>
        <w:rPr>
          <w:rFonts w:hint="eastAsia"/>
          <w:b/>
          <w:bCs/>
          <w:lang w:val="en-US" w:eastAsia="zh-CN"/>
        </w:rPr>
      </w:pPr>
      <w:r>
        <w:rPr>
          <w:rFonts w:hint="eastAsia"/>
          <w:b/>
          <w:bCs/>
          <w:lang w:val="en-US" w:eastAsia="zh-CN"/>
        </w:rPr>
        <w:t>（六）国有资本经营预算支出情况说明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lang w:val="en-US" w:eastAsia="zh-CN"/>
        </w:rPr>
      </w:pPr>
      <w:r>
        <w:rPr>
          <w:rFonts w:hint="eastAsia"/>
          <w:lang w:val="en-US" w:eastAsia="zh-CN"/>
        </w:rPr>
        <w:t>2024年本单位预算中没有使用国有资本经营预算拨款安排的支出，故无此项预算，与上年对比无增减变化，与上年预算持平。</w:t>
      </w:r>
    </w:p>
    <w:p>
      <w:pPr>
        <w:numPr>
          <w:ilvl w:val="0"/>
          <w:numId w:val="0"/>
        </w:numPr>
        <w:bidi w:val="0"/>
        <w:ind w:firstLine="643" w:firstLineChars="200"/>
        <w:rPr>
          <w:rFonts w:hint="eastAsia"/>
          <w:b/>
          <w:bCs/>
          <w:lang w:val="en-US" w:eastAsia="zh-CN"/>
        </w:rPr>
      </w:pPr>
      <w:r>
        <w:rPr>
          <w:rFonts w:hint="eastAsia"/>
          <w:b/>
          <w:bCs/>
          <w:lang w:val="en-US" w:eastAsia="zh-CN"/>
        </w:rPr>
        <w:t>（七）项目支出预算情况说明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lang w:val="en-US" w:eastAsia="zh-CN"/>
        </w:rPr>
      </w:pPr>
      <w:r>
        <w:rPr>
          <w:rFonts w:hint="eastAsia"/>
          <w:lang w:val="en-US" w:eastAsia="zh-CN"/>
        </w:rPr>
        <w:t>2024年度预算共安排项目支出0万元，比上年增加0万元，增长0%。2024年本单位预算中没有安排项目支出预算，故无此项预算，与上年对比无增减变化，与上年预算持平。</w:t>
      </w:r>
    </w:p>
    <w:p>
      <w:pPr>
        <w:adjustRightInd w:val="0"/>
        <w:snapToGrid w:val="0"/>
        <w:spacing w:line="580" w:lineRule="atLeast"/>
        <w:ind w:firstLine="643" w:firstLineChars="200"/>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第四部分  机关运行经费安排情况说明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lang w:val="en-US" w:eastAsia="zh-CN"/>
        </w:rPr>
      </w:pPr>
      <w:r>
        <w:rPr>
          <w:rFonts w:hint="eastAsia"/>
          <w:lang w:val="en-US" w:eastAsia="zh-CN"/>
        </w:rPr>
        <w:t>2024年度机关运行经费机关运行经费预算总额为0万元，比上年增加0万元，增长0%。2024年本部门预算中没有安排机关运行经费预算，故无此项预算，与上年对比无增减变化，与上年一致。</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43" w:firstLineChars="200"/>
        <w:jc w:val="both"/>
        <w:textAlignment w:val="auto"/>
        <w:outlineLvl w:val="9"/>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 xml:space="preserve">第五部分  一般公共预算“三公”经费支出情况说明 </w:t>
      </w:r>
    </w:p>
    <w:p>
      <w:pPr>
        <w:keepNext w:val="0"/>
        <w:keepLines w:val="0"/>
        <w:pageBreakBefore w:val="0"/>
        <w:widowControl w:val="0"/>
        <w:numPr>
          <w:ilvl w:val="0"/>
          <w:numId w:val="0"/>
        </w:numPr>
        <w:kinsoku/>
        <w:wordWrap/>
        <w:overflowPunct/>
        <w:topLinePunct w:val="0"/>
        <w:autoSpaceDE/>
        <w:autoSpaceDN/>
        <w:bidi w:val="0"/>
        <w:spacing w:line="500" w:lineRule="exact"/>
        <w:ind w:left="640" w:leftChars="200" w:right="0" w:rightChars="0" w:firstLine="0" w:firstLineChars="0"/>
        <w:jc w:val="both"/>
        <w:textAlignment w:val="auto"/>
        <w:outlineLvl w:val="9"/>
        <w:rPr>
          <w:rFonts w:hint="default"/>
          <w:b/>
          <w:bCs/>
          <w:lang w:val="en-US" w:eastAsia="zh-CN"/>
        </w:rPr>
      </w:pPr>
      <w:r>
        <w:rPr>
          <w:rFonts w:hint="eastAsia"/>
          <w:b/>
          <w:bCs/>
          <w:lang w:val="en-US" w:eastAsia="zh-CN"/>
        </w:rPr>
        <w:t>（一）一般公共预算“三公”经费支出总体情况说明。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lang w:val="en-US" w:eastAsia="zh-CN"/>
        </w:rPr>
      </w:pPr>
      <w:r>
        <w:rPr>
          <w:rFonts w:hint="eastAsia"/>
          <w:lang w:val="en-US" w:eastAsia="zh-CN"/>
        </w:rPr>
        <w:t>2024年“三公”经费一般公共预算0万元，比上年预算增加0万元，增长0%。与上年对比无增减变化，与上年预算持平。</w:t>
      </w:r>
    </w:p>
    <w:p>
      <w:pPr>
        <w:keepNext w:val="0"/>
        <w:keepLines w:val="0"/>
        <w:pageBreakBefore w:val="0"/>
        <w:widowControl w:val="0"/>
        <w:numPr>
          <w:ilvl w:val="0"/>
          <w:numId w:val="0"/>
        </w:numPr>
        <w:kinsoku/>
        <w:wordWrap/>
        <w:overflowPunct/>
        <w:topLinePunct w:val="0"/>
        <w:autoSpaceDE/>
        <w:autoSpaceDN/>
        <w:bidi w:val="0"/>
        <w:spacing w:line="500" w:lineRule="exact"/>
        <w:ind w:leftChars="200" w:right="0" w:rightChars="0"/>
        <w:jc w:val="both"/>
        <w:textAlignment w:val="auto"/>
        <w:outlineLvl w:val="9"/>
        <w:rPr>
          <w:rFonts w:hint="eastAsia"/>
          <w:b/>
          <w:bCs/>
          <w:lang w:val="en-US" w:eastAsia="zh-CN"/>
        </w:rPr>
      </w:pPr>
      <w:r>
        <w:rPr>
          <w:rFonts w:hint="eastAsia"/>
          <w:b/>
          <w:bCs/>
          <w:lang w:val="en-US" w:eastAsia="zh-CN"/>
        </w:rPr>
        <w:t>（二）一般公共预算“三公”经费支出具体情况说明。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lang w:val="en-US" w:eastAsia="zh-CN"/>
        </w:rPr>
      </w:pPr>
      <w:r>
        <w:rPr>
          <w:rFonts w:hint="eastAsia"/>
          <w:lang w:val="en-US" w:eastAsia="zh-CN"/>
        </w:rPr>
        <w:t>1、因公出国(境)费预算0万元，比上年预算增加0万元，增长0%，与上年对比无增减变化，与上年预算持平。</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lang w:val="en-US" w:eastAsia="zh-CN"/>
        </w:rPr>
      </w:pPr>
      <w:r>
        <w:rPr>
          <w:rFonts w:hint="eastAsia"/>
          <w:lang w:val="en-US" w:eastAsia="zh-CN"/>
        </w:rPr>
        <w:t>2、公务用车购置及运行费预算0万元，比上年预算增加0万元，增长0%；其中：</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lang w:val="en-US" w:eastAsia="zh-CN"/>
        </w:rPr>
      </w:pPr>
      <w:r>
        <w:rPr>
          <w:rFonts w:hint="eastAsia"/>
          <w:lang w:val="en-US" w:eastAsia="zh-CN"/>
        </w:rPr>
        <w:t>(1)公务用车购置费0万元，比上年预算增加0万元，增长0%，与上年对比无增减变化，与上年预算持平。</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lang w:val="en-US" w:eastAsia="zh-CN"/>
        </w:rPr>
      </w:pPr>
      <w:r>
        <w:rPr>
          <w:rFonts w:hint="eastAsia"/>
          <w:lang w:val="en-US" w:eastAsia="zh-CN"/>
        </w:rPr>
        <w:t>(2)公务用车运行费0万元，比上年预算增加0万元，增长0%，与上年对比无增减变化，与上年预算持平。</w:t>
      </w:r>
    </w:p>
    <w:p>
      <w:pPr>
        <w:pageBreakBefore w:val="0"/>
        <w:widowControl w:val="0"/>
        <w:kinsoku/>
        <w:wordWrap/>
        <w:overflowPunct/>
        <w:topLinePunct w:val="0"/>
        <w:bidi w:val="0"/>
        <w:adjustRightInd w:val="0"/>
        <w:snapToGrid w:val="0"/>
        <w:spacing w:line="360" w:lineRule="auto"/>
        <w:ind w:firstLine="640" w:firstLineChars="200"/>
        <w:textAlignment w:val="auto"/>
        <w:rPr>
          <w:rFonts w:hint="default"/>
          <w:lang w:val="en-US" w:eastAsia="zh-CN"/>
        </w:rPr>
      </w:pPr>
      <w:r>
        <w:rPr>
          <w:rFonts w:hint="eastAsia"/>
          <w:lang w:val="en-US" w:eastAsia="zh-CN"/>
        </w:rPr>
        <w:t>3、公务接待费预算0万元，比上年预算增加0万元，增长0%，与上年对比无增减变化，与上年预算持平。</w:t>
      </w:r>
    </w:p>
    <w:p>
      <w:pPr>
        <w:adjustRightInd w:val="0"/>
        <w:snapToGrid w:val="0"/>
        <w:spacing w:line="580" w:lineRule="atLeast"/>
        <w:ind w:firstLine="643" w:firstLineChars="200"/>
        <w:rPr>
          <w:rFonts w:hint="default"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 xml:space="preserve">第六部分  </w:t>
      </w:r>
      <w:r>
        <w:rPr>
          <w:rFonts w:hint="default" w:ascii="黑体" w:hAnsi="黑体" w:eastAsia="黑体" w:cs="黑体"/>
          <w:b/>
          <w:bCs/>
          <w:sz w:val="32"/>
          <w:szCs w:val="32"/>
          <w:u w:val="none"/>
          <w:lang w:val="en-US" w:eastAsia="zh-CN"/>
        </w:rPr>
        <w:t>政府采购</w:t>
      </w:r>
      <w:r>
        <w:rPr>
          <w:rFonts w:hint="eastAsia" w:ascii="黑体" w:hAnsi="黑体" w:eastAsia="黑体" w:cs="黑体"/>
          <w:b/>
          <w:bCs/>
          <w:sz w:val="32"/>
          <w:szCs w:val="32"/>
          <w:u w:val="none"/>
          <w:lang w:val="en-US" w:eastAsia="zh-CN"/>
        </w:rPr>
        <w:t>安排情况</w:t>
      </w:r>
      <w:r>
        <w:rPr>
          <w:rFonts w:hint="default" w:ascii="黑体" w:hAnsi="黑体" w:eastAsia="黑体" w:cs="黑体"/>
          <w:b/>
          <w:bCs/>
          <w:sz w:val="32"/>
          <w:szCs w:val="32"/>
          <w:u w:val="none"/>
          <w:lang w:val="en-US" w:eastAsia="zh-CN"/>
        </w:rPr>
        <w:t>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default"/>
          <w:lang w:val="en-US" w:eastAsia="zh-CN"/>
        </w:rPr>
      </w:pPr>
      <w:r>
        <w:rPr>
          <w:rFonts w:hint="eastAsia"/>
          <w:lang w:val="en-US" w:eastAsia="zh-CN"/>
        </w:rPr>
        <w:t>2024年本单位</w:t>
      </w:r>
      <w:r>
        <w:rPr>
          <w:rFonts w:hint="default"/>
          <w:lang w:val="en-US" w:eastAsia="zh-CN"/>
        </w:rPr>
        <w:t>编制政府采购预算</w:t>
      </w:r>
      <w:r>
        <w:rPr>
          <w:rFonts w:hint="eastAsia"/>
          <w:lang w:val="en-US" w:eastAsia="zh-CN"/>
        </w:rPr>
        <w:t>0万元，比上年增加0万元，增长0%</w:t>
      </w:r>
      <w:r>
        <w:rPr>
          <w:rFonts w:hint="default"/>
          <w:lang w:val="en-US" w:eastAsia="zh-CN"/>
        </w:rPr>
        <w:t>。</w:t>
      </w:r>
      <w:r>
        <w:rPr>
          <w:rFonts w:hint="eastAsia"/>
          <w:lang w:val="en-US" w:eastAsia="zh-CN"/>
        </w:rPr>
        <w:t>与上年对比无增减变化，与上年预算持平</w:t>
      </w:r>
      <w:r>
        <w:rPr>
          <w:rFonts w:hint="default"/>
          <w:lang w:val="en-US" w:eastAsia="zh-CN"/>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default"/>
          <w:lang w:val="en-US" w:eastAsia="zh-CN"/>
        </w:rPr>
      </w:pPr>
      <w:r>
        <w:rPr>
          <w:rFonts w:hint="default"/>
          <w:lang w:val="en-US" w:eastAsia="zh-CN"/>
        </w:rPr>
        <w:t>其中：货物类政府采购预算</w:t>
      </w:r>
      <w:r>
        <w:rPr>
          <w:rFonts w:hint="eastAsia"/>
          <w:lang w:val="en-US" w:eastAsia="zh-CN"/>
        </w:rPr>
        <w:t>0</w:t>
      </w:r>
      <w:r>
        <w:rPr>
          <w:rFonts w:hint="default"/>
          <w:lang w:val="en-US" w:eastAsia="zh-CN"/>
        </w:rPr>
        <w:t>万元；工程类政府采购预算</w:t>
      </w:r>
      <w:r>
        <w:rPr>
          <w:rFonts w:hint="eastAsia"/>
          <w:lang w:val="en-US" w:eastAsia="zh-CN"/>
        </w:rPr>
        <w:t>0</w:t>
      </w:r>
      <w:r>
        <w:rPr>
          <w:rFonts w:hint="default"/>
          <w:lang w:val="en-US" w:eastAsia="zh-CN"/>
        </w:rPr>
        <w:t>万元；服务类政府采购预算</w:t>
      </w:r>
      <w:r>
        <w:rPr>
          <w:rFonts w:hint="eastAsia"/>
          <w:lang w:val="en-US" w:eastAsia="zh-CN"/>
        </w:rPr>
        <w:t>0</w:t>
      </w:r>
      <w:r>
        <w:rPr>
          <w:rFonts w:hint="default"/>
          <w:lang w:val="en-US" w:eastAsia="zh-CN"/>
        </w:rPr>
        <w:t>万元。</w:t>
      </w:r>
    </w:p>
    <w:p>
      <w:pPr>
        <w:adjustRightInd w:val="0"/>
        <w:snapToGrid w:val="0"/>
        <w:spacing w:line="580" w:lineRule="atLeast"/>
        <w:ind w:firstLine="643" w:firstLineChars="200"/>
        <w:rPr>
          <w:rFonts w:hint="default"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 xml:space="preserve">第七部分  </w:t>
      </w:r>
      <w:r>
        <w:rPr>
          <w:rFonts w:hint="default" w:ascii="黑体" w:hAnsi="黑体" w:eastAsia="黑体" w:cs="黑体"/>
          <w:b/>
          <w:bCs/>
          <w:sz w:val="32"/>
          <w:szCs w:val="32"/>
          <w:u w:val="none"/>
          <w:lang w:val="en-US" w:eastAsia="zh-CN"/>
        </w:rPr>
        <w:t>国有资产占用情况</w:t>
      </w:r>
      <w:r>
        <w:rPr>
          <w:rFonts w:hint="eastAsia" w:ascii="黑体" w:hAnsi="黑体" w:eastAsia="黑体" w:cs="黑体"/>
          <w:b/>
          <w:bCs/>
          <w:sz w:val="32"/>
          <w:szCs w:val="32"/>
          <w:u w:val="none"/>
          <w:lang w:val="en-US" w:eastAsia="zh-CN"/>
        </w:rPr>
        <w:t>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lang w:val="en-US" w:eastAsia="zh-CN"/>
        </w:rPr>
      </w:pPr>
      <w:r>
        <w:rPr>
          <w:rFonts w:hint="eastAsia"/>
          <w:lang w:val="en-US" w:eastAsia="zh-CN"/>
        </w:rPr>
        <w:t>截至2023年12月31日，本部门单位</w:t>
      </w:r>
      <w:r>
        <w:rPr>
          <w:rFonts w:hint="default"/>
          <w:lang w:val="en-US" w:eastAsia="zh-CN"/>
        </w:rPr>
        <w:t>占有房屋面积</w:t>
      </w:r>
      <w:r>
        <w:rPr>
          <w:rFonts w:hint="eastAsia"/>
          <w:lang w:val="en-US" w:eastAsia="zh-CN"/>
        </w:rPr>
        <w:t>265.6</w:t>
      </w:r>
      <w:r>
        <w:rPr>
          <w:rFonts w:hint="default"/>
          <w:lang w:val="en-US" w:eastAsia="zh-CN"/>
        </w:rPr>
        <w:t>平方米</w:t>
      </w:r>
      <w:r>
        <w:rPr>
          <w:rFonts w:hint="eastAsia"/>
          <w:lang w:val="en-US" w:eastAsia="zh-CN"/>
        </w:rPr>
        <w:t>；单价 50 万元以上的通用设备0台（套）；单价 100 万元的以上专用设备0台（套）；现有公务用车0辆。</w:t>
      </w:r>
    </w:p>
    <w:p>
      <w:pPr>
        <w:pageBreakBefore w:val="0"/>
        <w:widowControl w:val="0"/>
        <w:kinsoku/>
        <w:wordWrap/>
        <w:overflowPunct/>
        <w:topLinePunct w:val="0"/>
        <w:bidi w:val="0"/>
        <w:adjustRightInd w:val="0"/>
        <w:snapToGrid w:val="0"/>
        <w:spacing w:line="360" w:lineRule="auto"/>
        <w:ind w:firstLine="640" w:firstLineChars="200"/>
        <w:textAlignment w:val="auto"/>
        <w:rPr>
          <w:rFonts w:hint="default"/>
          <w:lang w:val="en-US" w:eastAsia="zh-CN"/>
        </w:rPr>
      </w:pPr>
      <w:r>
        <w:rPr>
          <w:rFonts w:hint="eastAsia"/>
          <w:lang w:val="en-US" w:eastAsia="zh-CN"/>
        </w:rPr>
        <w:t>2024年部门预算安排购置：车辆0辆；单价 50 万元以上通用设备0台（套）；单价 100 万元以上专用设备0台（套）</w:t>
      </w:r>
      <w:r>
        <w:rPr>
          <w:rFonts w:hint="default"/>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第八部分  重点项目预算绩效情况说明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lang w:val="en-US" w:eastAsia="zh-CN"/>
        </w:rPr>
      </w:pPr>
      <w:r>
        <w:rPr>
          <w:rFonts w:hint="eastAsia"/>
          <w:lang w:val="en-US" w:eastAsia="zh-CN"/>
        </w:rPr>
        <w:t>2024年，本单位项目支出全面实施绩效目标管理，项目总预算0万元，0个项目，比上年增长0万元，增长0%。</w:t>
      </w:r>
    </w:p>
    <w:p>
      <w:pPr>
        <w:adjustRightInd w:val="0"/>
        <w:snapToGrid w:val="0"/>
        <w:spacing w:line="580" w:lineRule="atLeast"/>
        <w:ind w:firstLine="643" w:firstLineChars="200"/>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第九部分  其他需要说明的情况</w:t>
      </w:r>
    </w:p>
    <w:p>
      <w:pPr>
        <w:pStyle w:val="8"/>
        <w:numPr>
          <w:ilvl w:val="0"/>
          <w:numId w:val="0"/>
        </w:numPr>
        <w:ind w:firstLine="640"/>
        <w:rPr>
          <w:rFonts w:hint="eastAsia" w:ascii="Times New Roman" w:hAnsi="Times New Roman" w:eastAsia="仿宋_GB2312" w:cs="Times New Roman"/>
          <w:kern w:val="2"/>
          <w:sz w:val="32"/>
          <w:szCs w:val="22"/>
          <w:lang w:val="en-US" w:eastAsia="zh-CN" w:bidi="ar-SA"/>
        </w:rPr>
      </w:pPr>
      <w:r>
        <w:rPr>
          <w:rFonts w:hint="eastAsia" w:ascii="Times New Roman" w:hAnsi="Times New Roman" w:eastAsia="仿宋_GB2312" w:cs="Times New Roman"/>
          <w:kern w:val="2"/>
          <w:sz w:val="32"/>
          <w:szCs w:val="22"/>
          <w:lang w:val="en-US" w:eastAsia="zh-CN" w:bidi="ar-SA"/>
        </w:rPr>
        <w:t>1、对空表的说明</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Times New Roman" w:hAnsi="Times New Roman" w:eastAsia="仿宋_GB2312" w:cs="Times New Roman"/>
          <w:kern w:val="2"/>
          <w:sz w:val="32"/>
          <w:szCs w:val="22"/>
          <w:lang w:val="en-US" w:eastAsia="zh-CN" w:bidi="ar-SA"/>
        </w:rPr>
      </w:pPr>
      <w:r>
        <w:rPr>
          <w:rFonts w:hint="eastAsia" w:ascii="Times New Roman" w:hAnsi="Times New Roman" w:eastAsia="仿宋_GB2312" w:cs="Times New Roman"/>
          <w:kern w:val="2"/>
          <w:sz w:val="32"/>
          <w:szCs w:val="22"/>
          <w:lang w:val="en-US" w:eastAsia="zh-CN" w:bidi="ar-SA"/>
        </w:rPr>
        <w:t>202</w:t>
      </w:r>
      <w:r>
        <w:rPr>
          <w:rFonts w:hint="eastAsia" w:cs="Times New Roman"/>
          <w:kern w:val="2"/>
          <w:sz w:val="32"/>
          <w:szCs w:val="22"/>
          <w:lang w:val="en-US" w:eastAsia="zh-CN" w:bidi="ar-SA"/>
        </w:rPr>
        <w:t>4</w:t>
      </w:r>
      <w:r>
        <w:rPr>
          <w:rFonts w:hint="eastAsia" w:ascii="Times New Roman" w:hAnsi="Times New Roman" w:eastAsia="仿宋_GB2312" w:cs="Times New Roman"/>
          <w:kern w:val="2"/>
          <w:sz w:val="32"/>
          <w:szCs w:val="22"/>
          <w:lang w:val="en-US" w:eastAsia="zh-CN" w:bidi="ar-SA"/>
        </w:rPr>
        <w:t>年本单位预算中没有使用政府性基金预算拨款安排的支出，故政府性基金预算支出表无数据，与上年一致。</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Times New Roman" w:hAnsi="Times New Roman" w:eastAsia="仿宋_GB2312" w:cs="Times New Roman"/>
          <w:kern w:val="2"/>
          <w:sz w:val="32"/>
          <w:szCs w:val="22"/>
          <w:lang w:val="en-US" w:eastAsia="zh-CN" w:bidi="ar-SA"/>
        </w:rPr>
      </w:pPr>
      <w:r>
        <w:rPr>
          <w:rFonts w:hint="eastAsia" w:ascii="Times New Roman" w:hAnsi="Times New Roman" w:eastAsia="仿宋_GB2312" w:cs="Times New Roman"/>
          <w:kern w:val="2"/>
          <w:sz w:val="32"/>
          <w:szCs w:val="22"/>
          <w:lang w:val="en-US" w:eastAsia="zh-CN" w:bidi="ar-SA"/>
        </w:rPr>
        <w:t>202</w:t>
      </w:r>
      <w:r>
        <w:rPr>
          <w:rFonts w:hint="eastAsia" w:cs="Times New Roman"/>
          <w:kern w:val="2"/>
          <w:sz w:val="32"/>
          <w:szCs w:val="22"/>
          <w:lang w:val="en-US" w:eastAsia="zh-CN" w:bidi="ar-SA"/>
        </w:rPr>
        <w:t>4</w:t>
      </w:r>
      <w:r>
        <w:rPr>
          <w:rFonts w:hint="eastAsia" w:ascii="Times New Roman" w:hAnsi="Times New Roman" w:eastAsia="仿宋_GB2312" w:cs="Times New Roman"/>
          <w:kern w:val="2"/>
          <w:sz w:val="32"/>
          <w:szCs w:val="22"/>
          <w:lang w:val="en-US" w:eastAsia="zh-CN" w:bidi="ar-SA"/>
        </w:rPr>
        <w:t>年本单位预算中没有使用国有资本经营预算拨款安排的支出，故国有资本经营预算支出表无数据，与上年一致。</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Times New Roman" w:hAnsi="Times New Roman" w:eastAsia="仿宋_GB2312" w:cs="Times New Roman"/>
          <w:kern w:val="2"/>
          <w:sz w:val="32"/>
          <w:szCs w:val="22"/>
          <w:lang w:val="en-US" w:eastAsia="zh-CN" w:bidi="ar-SA"/>
        </w:rPr>
      </w:pPr>
      <w:r>
        <w:rPr>
          <w:rFonts w:hint="eastAsia" w:ascii="Times New Roman" w:hAnsi="Times New Roman" w:eastAsia="仿宋_GB2312" w:cs="Times New Roman"/>
          <w:kern w:val="2"/>
          <w:sz w:val="32"/>
          <w:szCs w:val="22"/>
          <w:lang w:val="en-US" w:eastAsia="zh-CN" w:bidi="ar-SA"/>
        </w:rPr>
        <w:t>202</w:t>
      </w:r>
      <w:r>
        <w:rPr>
          <w:rFonts w:hint="eastAsia" w:cs="Times New Roman"/>
          <w:kern w:val="2"/>
          <w:sz w:val="32"/>
          <w:szCs w:val="22"/>
          <w:lang w:val="en-US" w:eastAsia="zh-CN" w:bidi="ar-SA"/>
        </w:rPr>
        <w:t>4</w:t>
      </w:r>
      <w:r>
        <w:rPr>
          <w:rFonts w:hint="eastAsia" w:ascii="Times New Roman" w:hAnsi="Times New Roman" w:eastAsia="仿宋_GB2312" w:cs="Times New Roman"/>
          <w:kern w:val="2"/>
          <w:sz w:val="32"/>
          <w:szCs w:val="22"/>
          <w:lang w:val="en-US" w:eastAsia="zh-CN" w:bidi="ar-SA"/>
        </w:rPr>
        <w:t>年本单位预算中没有一般公共预算“三公”经费拨款安排的支出，故一般公共预算“三公”经费支出表无数据，与上年一致。</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Times New Roman" w:hAnsi="Times New Roman" w:eastAsia="仿宋_GB2312" w:cs="Times New Roman"/>
          <w:kern w:val="2"/>
          <w:sz w:val="32"/>
          <w:szCs w:val="22"/>
          <w:lang w:val="en-US" w:eastAsia="zh-CN" w:bidi="ar-SA"/>
        </w:rPr>
      </w:pPr>
      <w:r>
        <w:rPr>
          <w:rFonts w:hint="eastAsia" w:ascii="Times New Roman" w:hAnsi="Times New Roman" w:eastAsia="仿宋_GB2312" w:cs="Times New Roman"/>
          <w:kern w:val="2"/>
          <w:sz w:val="32"/>
          <w:szCs w:val="22"/>
          <w:lang w:val="en-US" w:eastAsia="zh-CN" w:bidi="ar-SA"/>
        </w:rPr>
        <w:t>202</w:t>
      </w:r>
      <w:r>
        <w:rPr>
          <w:rFonts w:hint="eastAsia" w:cs="Times New Roman"/>
          <w:kern w:val="2"/>
          <w:sz w:val="32"/>
          <w:szCs w:val="22"/>
          <w:lang w:val="en-US" w:eastAsia="zh-CN" w:bidi="ar-SA"/>
        </w:rPr>
        <w:t>4</w:t>
      </w:r>
      <w:r>
        <w:rPr>
          <w:rFonts w:hint="eastAsia" w:ascii="Times New Roman" w:hAnsi="Times New Roman" w:eastAsia="仿宋_GB2312" w:cs="Times New Roman"/>
          <w:kern w:val="2"/>
          <w:sz w:val="32"/>
          <w:szCs w:val="22"/>
          <w:lang w:val="en-US" w:eastAsia="zh-CN" w:bidi="ar-SA"/>
        </w:rPr>
        <w:t>年本单位预算中没有项目经费拨款安排的支出，故项目支出表无数据，与上年一致。</w:t>
      </w:r>
    </w:p>
    <w:p>
      <w:pPr>
        <w:pStyle w:val="8"/>
        <w:numPr>
          <w:ilvl w:val="0"/>
          <w:numId w:val="2"/>
        </w:numPr>
        <w:ind w:firstLine="640"/>
        <w:rPr>
          <w:rFonts w:hint="eastAsia" w:ascii="Times New Roman" w:hAnsi="Times New Roman" w:eastAsia="仿宋_GB2312" w:cs="Times New Roman"/>
          <w:kern w:val="2"/>
          <w:sz w:val="32"/>
          <w:szCs w:val="22"/>
          <w:lang w:val="en-US" w:eastAsia="zh-CN" w:bidi="ar-SA"/>
        </w:rPr>
      </w:pPr>
      <w:r>
        <w:rPr>
          <w:rFonts w:hint="eastAsia" w:ascii="Times New Roman" w:hAnsi="Times New Roman" w:eastAsia="仿宋_GB2312" w:cs="Times New Roman"/>
          <w:kern w:val="2"/>
          <w:sz w:val="32"/>
          <w:szCs w:val="22"/>
          <w:lang w:val="en-US" w:eastAsia="zh-CN" w:bidi="ar-SA"/>
        </w:rPr>
        <w:t>对其他情况的说明</w:t>
      </w:r>
    </w:p>
    <w:p>
      <w:pPr>
        <w:pStyle w:val="8"/>
        <w:numPr>
          <w:ilvl w:val="0"/>
          <w:numId w:val="0"/>
        </w:numPr>
        <w:ind w:firstLine="640" w:firstLineChars="200"/>
        <w:rPr>
          <w:rFonts w:hint="eastAsia" w:ascii="Times New Roman" w:hAnsi="Times New Roman" w:eastAsia="仿宋_GB2312" w:cs="Times New Roman"/>
          <w:kern w:val="2"/>
          <w:sz w:val="32"/>
          <w:szCs w:val="22"/>
          <w:lang w:val="en-US" w:eastAsia="zh-CN" w:bidi="ar-SA"/>
        </w:rPr>
      </w:pPr>
      <w:r>
        <w:rPr>
          <w:rFonts w:hint="eastAsia" w:ascii="Times New Roman" w:hAnsi="Times New Roman" w:eastAsia="仿宋_GB2312" w:cs="Times New Roman"/>
          <w:kern w:val="2"/>
          <w:sz w:val="32"/>
          <w:szCs w:val="22"/>
          <w:lang w:val="en-US" w:eastAsia="zh-CN" w:bidi="ar-SA"/>
        </w:rPr>
        <w:t>（1）政府债务情况说明</w:t>
      </w:r>
    </w:p>
    <w:p>
      <w:pPr>
        <w:pStyle w:val="8"/>
        <w:numPr>
          <w:ilvl w:val="0"/>
          <w:numId w:val="0"/>
        </w:numPr>
        <w:ind w:firstLine="640"/>
        <w:rPr>
          <w:rFonts w:hint="eastAsia" w:ascii="Times New Roman" w:hAnsi="Times New Roman" w:eastAsia="仿宋_GB2312" w:cs="Times New Roman"/>
          <w:kern w:val="2"/>
          <w:sz w:val="32"/>
          <w:szCs w:val="22"/>
          <w:lang w:val="en-US" w:eastAsia="zh-CN" w:bidi="ar-SA"/>
        </w:rPr>
      </w:pPr>
      <w:r>
        <w:rPr>
          <w:rFonts w:hint="eastAsia" w:ascii="Times New Roman" w:hAnsi="Times New Roman" w:eastAsia="仿宋_GB2312" w:cs="Times New Roman"/>
          <w:kern w:val="2"/>
          <w:sz w:val="32"/>
          <w:szCs w:val="22"/>
          <w:lang w:val="en-US" w:eastAsia="zh-CN" w:bidi="ar-SA"/>
        </w:rPr>
        <w:t>2024年本单位无政府债务，与上年一致。</w:t>
      </w:r>
    </w:p>
    <w:p>
      <w:pPr>
        <w:pStyle w:val="8"/>
        <w:numPr>
          <w:ilvl w:val="0"/>
          <w:numId w:val="0"/>
        </w:numPr>
        <w:ind w:firstLine="640" w:firstLineChars="200"/>
        <w:rPr>
          <w:rFonts w:hint="eastAsia" w:ascii="Times New Roman" w:hAnsi="Times New Roman" w:eastAsia="仿宋_GB2312" w:cs="Times New Roman"/>
          <w:kern w:val="2"/>
          <w:sz w:val="32"/>
          <w:szCs w:val="22"/>
          <w:lang w:val="en-US" w:eastAsia="zh-CN" w:bidi="ar-SA"/>
        </w:rPr>
      </w:pPr>
      <w:r>
        <w:rPr>
          <w:rFonts w:hint="eastAsia" w:ascii="Times New Roman" w:hAnsi="Times New Roman" w:eastAsia="仿宋_GB2312" w:cs="Times New Roman"/>
          <w:kern w:val="2"/>
          <w:sz w:val="32"/>
          <w:szCs w:val="22"/>
          <w:lang w:val="en-US" w:eastAsia="zh-CN" w:bidi="ar-SA"/>
        </w:rPr>
        <w:t>（2）其他项目支出绩效情况</w:t>
      </w:r>
    </w:p>
    <w:p>
      <w:pPr>
        <w:keepNext w:val="0"/>
        <w:keepLines w:val="0"/>
        <w:pageBreakBefore w:val="0"/>
        <w:widowControl w:val="0"/>
        <w:kinsoku/>
        <w:wordWrap/>
        <w:overflowPunct/>
        <w:topLinePunct w:val="0"/>
        <w:autoSpaceDE/>
        <w:autoSpaceDN/>
        <w:bidi w:val="0"/>
        <w:spacing w:line="480" w:lineRule="exact"/>
        <w:ind w:left="0" w:leftChars="0" w:right="0" w:rightChars="0" w:firstLine="640"/>
        <w:jc w:val="both"/>
        <w:textAlignment w:val="auto"/>
        <w:outlineLvl w:val="9"/>
        <w:rPr>
          <w:rFonts w:hint="eastAsia" w:ascii="Times New Roman" w:hAnsi="Times New Roman" w:eastAsia="仿宋_GB2312" w:cs="Times New Roman"/>
          <w:kern w:val="2"/>
          <w:sz w:val="32"/>
          <w:szCs w:val="22"/>
          <w:lang w:val="en-US" w:eastAsia="zh-CN" w:bidi="ar-SA"/>
        </w:rPr>
      </w:pPr>
      <w:r>
        <w:rPr>
          <w:rFonts w:hint="eastAsia" w:ascii="Times New Roman" w:hAnsi="Times New Roman" w:eastAsia="仿宋_GB2312" w:cs="Times New Roman"/>
          <w:kern w:val="2"/>
          <w:sz w:val="32"/>
          <w:szCs w:val="22"/>
          <w:lang w:val="en-US" w:eastAsia="zh-CN" w:bidi="ar-SA"/>
        </w:rPr>
        <w:t>202</w:t>
      </w:r>
      <w:r>
        <w:rPr>
          <w:rFonts w:hint="eastAsia" w:cs="Times New Roman"/>
          <w:kern w:val="2"/>
          <w:sz w:val="32"/>
          <w:szCs w:val="22"/>
          <w:lang w:val="en-US" w:eastAsia="zh-CN" w:bidi="ar-SA"/>
        </w:rPr>
        <w:t>4</w:t>
      </w:r>
      <w:r>
        <w:rPr>
          <w:rFonts w:hint="eastAsia" w:ascii="Times New Roman" w:hAnsi="Times New Roman" w:eastAsia="仿宋_GB2312" w:cs="Times New Roman"/>
          <w:kern w:val="2"/>
          <w:sz w:val="32"/>
          <w:szCs w:val="22"/>
          <w:lang w:val="en-US" w:eastAsia="zh-CN" w:bidi="ar-SA"/>
        </w:rPr>
        <w:t>年本单位无其他项目支出情况。</w:t>
      </w:r>
    </w:p>
    <w:p>
      <w:pPr>
        <w:pStyle w:val="8"/>
        <w:numPr>
          <w:ilvl w:val="0"/>
          <w:numId w:val="0"/>
        </w:numPr>
        <w:ind w:firstLine="640" w:firstLineChars="200"/>
        <w:rPr>
          <w:rFonts w:hint="eastAsia" w:ascii="Times New Roman" w:hAnsi="Times New Roman" w:eastAsia="仿宋_GB2312" w:cs="Times New Roman"/>
          <w:kern w:val="2"/>
          <w:sz w:val="32"/>
          <w:szCs w:val="22"/>
          <w:lang w:val="en-US" w:eastAsia="zh-CN" w:bidi="ar-SA"/>
        </w:rPr>
      </w:pPr>
      <w:r>
        <w:rPr>
          <w:rFonts w:hint="eastAsia" w:ascii="Times New Roman" w:hAnsi="Times New Roman" w:eastAsia="仿宋_GB2312" w:cs="Times New Roman"/>
          <w:kern w:val="2"/>
          <w:sz w:val="32"/>
          <w:szCs w:val="22"/>
          <w:lang w:val="en-US" w:eastAsia="zh-CN" w:bidi="ar-SA"/>
        </w:rPr>
        <w:t>（3）预算公开管理文件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 w:lineRule="atLeast"/>
        <w:ind w:right="0" w:firstLine="640" w:firstLineChars="200"/>
        <w:jc w:val="left"/>
        <w:textAlignment w:val="auto"/>
        <w:rPr>
          <w:rFonts w:hint="eastAsia" w:ascii="Times New Roman" w:hAnsi="Times New Roman" w:eastAsia="仿宋_GB2312" w:cs="Times New Roman"/>
          <w:kern w:val="2"/>
          <w:sz w:val="32"/>
          <w:szCs w:val="22"/>
          <w:lang w:val="en-US" w:eastAsia="zh-CN" w:bidi="ar-SA"/>
        </w:rPr>
      </w:pPr>
      <w:r>
        <w:rPr>
          <w:rFonts w:hint="eastAsia" w:ascii="Times New Roman" w:hAnsi="Times New Roman" w:eastAsia="仿宋_GB2312" w:cs="Times New Roman"/>
          <w:kern w:val="2"/>
          <w:sz w:val="32"/>
          <w:szCs w:val="22"/>
          <w:lang w:val="en-US" w:eastAsia="zh-CN" w:bidi="ar-SA"/>
        </w:rPr>
        <w:t>我单位预算公开管理情况说明在财务管理制度中载明，相关条款如下：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 w:lineRule="atLeast"/>
        <w:ind w:right="0" w:firstLine="640" w:firstLineChars="200"/>
        <w:jc w:val="left"/>
        <w:textAlignment w:val="auto"/>
        <w:rPr>
          <w:rFonts w:hint="eastAsia" w:ascii="Times New Roman" w:hAnsi="Times New Roman" w:eastAsia="仿宋_GB2312" w:cs="Times New Roman"/>
          <w:kern w:val="2"/>
          <w:sz w:val="32"/>
          <w:szCs w:val="22"/>
          <w:lang w:val="en-US" w:eastAsia="zh-CN" w:bidi="ar-SA"/>
        </w:rPr>
      </w:pPr>
      <w:r>
        <w:rPr>
          <w:rFonts w:hint="eastAsia" w:ascii="Times New Roman" w:hAnsi="Times New Roman" w:eastAsia="仿宋_GB2312" w:cs="Times New Roman"/>
          <w:kern w:val="2"/>
          <w:sz w:val="32"/>
          <w:szCs w:val="22"/>
          <w:lang w:val="en-US" w:eastAsia="zh-CN" w:bidi="ar-SA"/>
        </w:rPr>
        <w:t>第十一条  本单位预决算信息</w:t>
      </w:r>
      <w:r>
        <w:rPr>
          <w:rFonts w:hint="default" w:ascii="Times New Roman" w:hAnsi="Times New Roman" w:eastAsia="仿宋_GB2312" w:cs="Times New Roman"/>
          <w:kern w:val="2"/>
          <w:sz w:val="32"/>
          <w:szCs w:val="22"/>
          <w:lang w:val="en-US" w:eastAsia="zh-CN" w:bidi="ar-SA"/>
        </w:rPr>
        <w:t>在批复后20日内</w:t>
      </w:r>
      <w:r>
        <w:rPr>
          <w:rFonts w:hint="eastAsia" w:ascii="Times New Roman" w:hAnsi="Times New Roman" w:eastAsia="仿宋_GB2312" w:cs="Times New Roman"/>
          <w:kern w:val="2"/>
          <w:sz w:val="32"/>
          <w:szCs w:val="22"/>
          <w:lang w:val="en-US" w:eastAsia="zh-CN" w:bidi="ar-SA"/>
        </w:rPr>
        <w:t>向社会公开，在市卫生健康委员会官方网站统一公开，网址为（http://wjw.huangshi.gov.cn/xxgk_21/fdzdgknr/czzj/）。</w:t>
      </w:r>
      <w:r>
        <w:rPr>
          <w:rFonts w:hint="default" w:ascii="Times New Roman" w:hAnsi="Times New Roman" w:eastAsia="仿宋_GB2312" w:cs="Times New Roman"/>
          <w:kern w:val="2"/>
          <w:sz w:val="32"/>
          <w:szCs w:val="22"/>
          <w:lang w:val="en-US" w:eastAsia="zh-CN" w:bidi="ar-SA"/>
        </w:rPr>
        <w:t>预决算信息公开遵循依法依规、真实准确、积极稳妥、分级负责的原则</w:t>
      </w:r>
      <w:r>
        <w:rPr>
          <w:rFonts w:hint="eastAsia" w:ascii="Times New Roman" w:hAnsi="Times New Roman" w:eastAsia="仿宋_GB2312" w:cs="Times New Roman"/>
          <w:kern w:val="2"/>
          <w:sz w:val="32"/>
          <w:szCs w:val="22"/>
          <w:lang w:val="en-US" w:eastAsia="zh-CN" w:bidi="ar-SA"/>
        </w:rPr>
        <w:t>，并保持长期公开状态。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 w:lineRule="atLeast"/>
        <w:ind w:left="0" w:right="0" w:firstLine="640" w:firstLineChars="200"/>
        <w:jc w:val="left"/>
        <w:textAlignment w:val="auto"/>
        <w:rPr>
          <w:rFonts w:hint="eastAsia" w:ascii="Times New Roman" w:hAnsi="Times New Roman" w:eastAsia="仿宋_GB2312" w:cs="Times New Roman"/>
          <w:kern w:val="2"/>
          <w:sz w:val="32"/>
          <w:szCs w:val="22"/>
          <w:lang w:val="en-US" w:eastAsia="zh-CN" w:bidi="ar-SA"/>
        </w:rPr>
      </w:pPr>
      <w:r>
        <w:rPr>
          <w:rFonts w:hint="eastAsia" w:ascii="Times New Roman" w:hAnsi="Times New Roman" w:eastAsia="仿宋_GB2312" w:cs="Times New Roman"/>
          <w:kern w:val="2"/>
          <w:sz w:val="32"/>
          <w:szCs w:val="22"/>
          <w:lang w:val="en-US" w:eastAsia="zh-CN" w:bidi="ar-SA"/>
        </w:rPr>
        <w:t>第十二条 本单位预决算信息公开内容包括：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 w:lineRule="atLeast"/>
        <w:ind w:left="0" w:right="0" w:firstLine="640" w:firstLineChars="200"/>
        <w:jc w:val="left"/>
        <w:textAlignment w:val="auto"/>
        <w:rPr>
          <w:rFonts w:hint="eastAsia" w:ascii="Times New Roman" w:hAnsi="Times New Roman" w:eastAsia="仿宋_GB2312" w:cs="Times New Roman"/>
          <w:kern w:val="2"/>
          <w:sz w:val="32"/>
          <w:szCs w:val="22"/>
          <w:lang w:val="en-US" w:eastAsia="zh-CN" w:bidi="ar-SA"/>
        </w:rPr>
      </w:pPr>
      <w:r>
        <w:rPr>
          <w:rFonts w:hint="eastAsia" w:ascii="Times New Roman" w:hAnsi="Times New Roman" w:eastAsia="仿宋_GB2312" w:cs="Times New Roman"/>
          <w:kern w:val="2"/>
          <w:sz w:val="32"/>
          <w:szCs w:val="22"/>
          <w:lang w:val="en-US" w:eastAsia="zh-CN" w:bidi="ar-SA"/>
        </w:rPr>
        <w:t>（一）单位职责、机构设置、编制现状、年度主要工作任务等情况。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 w:lineRule="atLeast"/>
        <w:ind w:left="0" w:right="0" w:firstLine="640" w:firstLineChars="200"/>
        <w:jc w:val="left"/>
        <w:textAlignment w:val="auto"/>
        <w:rPr>
          <w:rFonts w:hint="eastAsia" w:ascii="Times New Roman" w:hAnsi="Times New Roman" w:eastAsia="仿宋_GB2312" w:cs="Times New Roman"/>
          <w:kern w:val="2"/>
          <w:sz w:val="32"/>
          <w:szCs w:val="22"/>
          <w:lang w:val="en-US" w:eastAsia="zh-CN" w:bidi="ar-SA"/>
        </w:rPr>
      </w:pPr>
      <w:r>
        <w:rPr>
          <w:rFonts w:hint="eastAsia" w:ascii="Times New Roman" w:hAnsi="Times New Roman" w:eastAsia="仿宋_GB2312" w:cs="Times New Roman"/>
          <w:kern w:val="2"/>
          <w:sz w:val="32"/>
          <w:szCs w:val="22"/>
          <w:lang w:val="en-US" w:eastAsia="zh-CN" w:bidi="ar-SA"/>
        </w:rPr>
        <w:t>（二）预决算收支情况，包括一般公共预算收支情况、机关运行经费情况等，涵盖财政拨款收支、非财政拨款收支情况。预决算支出公开到功能分类的项级科目，按规定公开到经济分类科目。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 w:lineRule="atLeast"/>
        <w:ind w:left="0" w:right="0" w:firstLine="640" w:firstLineChars="200"/>
        <w:jc w:val="left"/>
        <w:textAlignment w:val="auto"/>
        <w:rPr>
          <w:rFonts w:hint="eastAsia" w:ascii="Times New Roman" w:hAnsi="Times New Roman" w:eastAsia="仿宋_GB2312" w:cs="Times New Roman"/>
          <w:kern w:val="2"/>
          <w:sz w:val="32"/>
          <w:szCs w:val="22"/>
          <w:lang w:val="en-US" w:eastAsia="zh-CN" w:bidi="ar-SA"/>
        </w:rPr>
      </w:pPr>
      <w:r>
        <w:rPr>
          <w:rFonts w:hint="eastAsia" w:ascii="Times New Roman" w:hAnsi="Times New Roman" w:eastAsia="仿宋_GB2312" w:cs="Times New Roman"/>
          <w:kern w:val="2"/>
          <w:sz w:val="32"/>
          <w:szCs w:val="22"/>
          <w:lang w:val="en-US" w:eastAsia="zh-CN" w:bidi="ar-SA"/>
        </w:rPr>
        <w:t>（三）“三公”经费财政拨款预决算总额和分项数额、会议费和培训费预决算总额，并对增减变化的原因进行说明。“公务用车购置和运行费”公开为“公务用车购置费”和“公务用车运行费”。“三公”经费决算公开说明因公出国（境）团组数及人数，公务用车购置数及保有量，国内公务接待的批次、人数、经费总额以及“三公”经费增减变化原因等情况。会议费、培训费决算公开说明召开会议和组织培训的次数和人数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 w:lineRule="atLeast"/>
        <w:ind w:left="0" w:right="0" w:firstLine="640" w:firstLineChars="200"/>
        <w:jc w:val="left"/>
        <w:textAlignment w:val="auto"/>
        <w:rPr>
          <w:rFonts w:hint="eastAsia" w:ascii="Times New Roman" w:hAnsi="Times New Roman" w:eastAsia="仿宋_GB2312" w:cs="Times New Roman"/>
          <w:kern w:val="2"/>
          <w:sz w:val="32"/>
          <w:szCs w:val="22"/>
          <w:lang w:val="en-US" w:eastAsia="zh-CN" w:bidi="ar-SA"/>
        </w:rPr>
      </w:pPr>
      <w:r>
        <w:rPr>
          <w:rFonts w:hint="eastAsia" w:ascii="Times New Roman" w:hAnsi="Times New Roman" w:eastAsia="仿宋_GB2312" w:cs="Times New Roman"/>
          <w:kern w:val="2"/>
          <w:sz w:val="32"/>
          <w:szCs w:val="22"/>
          <w:lang w:val="en-US" w:eastAsia="zh-CN" w:bidi="ar-SA"/>
        </w:rPr>
        <w:t>（四）政府采购信息，包括政府采购预算总额和分项数额、采购文件、采购结果等。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 w:lineRule="atLeast"/>
        <w:ind w:left="0" w:right="0" w:firstLine="640" w:firstLineChars="200"/>
        <w:jc w:val="left"/>
        <w:textAlignment w:val="auto"/>
        <w:rPr>
          <w:rFonts w:hint="eastAsia" w:ascii="Times New Roman" w:hAnsi="Times New Roman" w:eastAsia="仿宋_GB2312" w:cs="Times New Roman"/>
          <w:kern w:val="2"/>
          <w:sz w:val="32"/>
          <w:szCs w:val="22"/>
          <w:lang w:val="en-US" w:eastAsia="zh-CN" w:bidi="ar-SA"/>
        </w:rPr>
      </w:pPr>
      <w:r>
        <w:rPr>
          <w:rFonts w:hint="eastAsia" w:ascii="Times New Roman" w:hAnsi="Times New Roman" w:eastAsia="仿宋_GB2312" w:cs="Times New Roman"/>
          <w:kern w:val="2"/>
          <w:sz w:val="32"/>
          <w:szCs w:val="22"/>
          <w:lang w:val="en-US" w:eastAsia="zh-CN" w:bidi="ar-SA"/>
        </w:rPr>
        <w:t>（五）财政专项资金，包括财政专项资金政策、项目申报指南、资金分配结果等。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 w:lineRule="atLeast"/>
        <w:ind w:left="0" w:right="0" w:firstLine="640" w:firstLineChars="200"/>
        <w:jc w:val="left"/>
        <w:textAlignment w:val="auto"/>
        <w:rPr>
          <w:rFonts w:hint="eastAsia" w:ascii="Times New Roman" w:hAnsi="Times New Roman" w:eastAsia="仿宋_GB2312" w:cs="Times New Roman"/>
          <w:kern w:val="2"/>
          <w:sz w:val="32"/>
          <w:szCs w:val="22"/>
          <w:lang w:val="en-US" w:eastAsia="zh-CN" w:bidi="ar-SA"/>
        </w:rPr>
      </w:pPr>
      <w:r>
        <w:rPr>
          <w:rFonts w:hint="eastAsia" w:ascii="Times New Roman" w:hAnsi="Times New Roman" w:eastAsia="仿宋_GB2312" w:cs="Times New Roman"/>
          <w:kern w:val="2"/>
          <w:sz w:val="32"/>
          <w:szCs w:val="22"/>
          <w:lang w:val="en-US" w:eastAsia="zh-CN" w:bidi="ar-SA"/>
        </w:rPr>
        <w:t>（六）逐步公开资产管理信息，包括占有使用国有资产的总体情况、分布构成、主要实物资产数据和资产变动情况，探索建立国有资产公开制度。</w:t>
      </w:r>
    </w:p>
    <w:p>
      <w:pPr>
        <w:keepNext w:val="0"/>
        <w:keepLines w:val="0"/>
        <w:pageBreakBefore w:val="0"/>
        <w:widowControl w:val="0"/>
        <w:kinsoku/>
        <w:wordWrap/>
        <w:overflowPunct/>
        <w:topLinePunct w:val="0"/>
        <w:autoSpaceDE/>
        <w:autoSpaceDN/>
        <w:bidi w:val="0"/>
        <w:spacing w:line="480" w:lineRule="exact"/>
        <w:ind w:left="0" w:leftChars="0" w:right="0" w:rightChars="0" w:firstLine="640"/>
        <w:jc w:val="both"/>
        <w:textAlignment w:val="auto"/>
        <w:outlineLvl w:val="9"/>
        <w:rPr>
          <w:rFonts w:hint="eastAsia" w:ascii="Times New Roman" w:hAnsi="Times New Roman" w:eastAsia="仿宋_GB2312" w:cs="Times New Roman"/>
          <w:kern w:val="2"/>
          <w:sz w:val="32"/>
          <w:szCs w:val="22"/>
          <w:lang w:val="en-US" w:eastAsia="zh-CN" w:bidi="ar-SA"/>
        </w:rPr>
      </w:pPr>
      <w:r>
        <w:rPr>
          <w:rFonts w:hint="eastAsia" w:ascii="Times New Roman" w:hAnsi="Times New Roman" w:eastAsia="仿宋_GB2312" w:cs="Times New Roman"/>
          <w:kern w:val="2"/>
          <w:sz w:val="32"/>
          <w:szCs w:val="22"/>
          <w:lang w:val="en-US" w:eastAsia="zh-CN" w:bidi="ar-SA"/>
        </w:rPr>
        <w:t>（七）逐步公开预算绩效信息，在部门预算中公开预算绩效目标，在部门决算中公开主要的民生项目和重点支出项目的绩效评价结果。</w:t>
      </w:r>
    </w:p>
    <w:p>
      <w:pPr>
        <w:pStyle w:val="8"/>
        <w:rPr>
          <w:rFonts w:hint="eastAsia" w:ascii="黑体" w:hAnsi="黑体" w:eastAsia="黑体" w:cs="黑体"/>
          <w:sz w:val="32"/>
          <w:szCs w:val="32"/>
          <w:lang w:val="en-US" w:eastAsia="zh-CN"/>
        </w:rPr>
      </w:pPr>
      <w:r>
        <w:rPr>
          <w:rFonts w:hint="eastAsia" w:ascii="黑体" w:hAnsi="黑体" w:eastAsia="黑体" w:cs="黑体"/>
          <w:b/>
          <w:bCs/>
          <w:sz w:val="32"/>
          <w:szCs w:val="32"/>
          <w:u w:val="none"/>
          <w:lang w:val="en-US" w:eastAsia="zh-CN"/>
        </w:rPr>
        <w:t>第十部分  专业名词解释</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lang w:val="en-US" w:eastAsia="zh-CN"/>
        </w:rPr>
      </w:pPr>
      <w:r>
        <w:rPr>
          <w:rFonts w:hint="eastAsia"/>
          <w:lang w:val="en-US" w:eastAsia="zh-CN"/>
        </w:rPr>
        <w:t>（一）机关运行经费：指为保障单位运行使用一般公共预算财政拨款安排的基本支出中的日常公用经费支出。包括办公及印刷费、邮电费、差旅费、会议费、福利费、日常维修费、专用材料及一般设备购置费、办公用房水电费、办公用房取暖费、办公用房物业管理费、公务用车运行维护费以及其他费用。</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lang w:val="en-US" w:eastAsia="zh-CN"/>
        </w:rPr>
      </w:pPr>
      <w:r>
        <w:rPr>
          <w:rFonts w:hint="eastAsia"/>
          <w:lang w:val="en-US" w:eastAsia="zh-CN"/>
        </w:rPr>
        <w:t>（二）“三公”经费：指使用一般公共预算财政拨款安排的因公出国(境)费、 公务用车购置及运行维护费和公务接待费。其中， 因公出国(境)费用反映单位公务出国(境)的国际旅费、国外城市间交通费、住宿费、伙食费、培训费、公杂费等支出；公务用车购置及运行维护费反映单位公务用车车辆购置支出(含车辆购置税、牌照费)、燃料费、维修费、过桥过路费、保险费、安全奖励费用等支出；公务接待费反映单位按规定开支的各类公务接待(含外宾接待)费用。</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lang w:val="en-US" w:eastAsia="zh-CN"/>
        </w:rPr>
      </w:pPr>
      <w:r>
        <w:rPr>
          <w:rFonts w:hint="eastAsia"/>
          <w:lang w:val="en-US" w:eastAsia="zh-CN"/>
        </w:rPr>
        <w:t>（三）财政拨款(补助)收入：指从同级财政部门取得的财政预算资金。</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lang w:val="en-US" w:eastAsia="zh-CN"/>
        </w:rPr>
      </w:pPr>
      <w:r>
        <w:rPr>
          <w:rFonts w:hint="eastAsia"/>
          <w:lang w:val="en-US" w:eastAsia="zh-CN"/>
        </w:rPr>
        <w:t>（四）其他收入：指除上述“财政拨款收入”以外任务相应安排的资金</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lang w:val="en-US" w:eastAsia="zh-CN"/>
        </w:rPr>
      </w:pPr>
      <w:r>
        <w:rPr>
          <w:rFonts w:hint="eastAsia"/>
          <w:lang w:val="en-US" w:eastAsia="zh-CN"/>
        </w:rPr>
        <w:t>（五）基本支出：指为保障机构正常运转、完成日常工作任务而发生的人员支出和公用支出。</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lang w:val="en-US" w:eastAsia="zh-CN"/>
        </w:rPr>
      </w:pPr>
      <w:r>
        <w:rPr>
          <w:rFonts w:hint="eastAsia"/>
          <w:lang w:val="en-US" w:eastAsia="zh-CN"/>
        </w:rPr>
        <w:t>（六）项目支出：指在基本支出之外为完成特定行政任务和事业发展目标所发生的支出。</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lang w:val="en-US" w:eastAsia="zh-CN"/>
        </w:rPr>
      </w:pPr>
      <w:r>
        <w:rPr>
          <w:rFonts w:hint="eastAsia"/>
          <w:lang w:val="en-US" w:eastAsia="zh-CN"/>
        </w:rPr>
        <w:t>（七）政府采购 ： 是指各级国家机关、事业单位和团体组织，使用财政性资金采购依法制定的集中采购目录以内的或者采购限额标准以上的货物、工程和服务的行为。政府采购不仅是指具体的采购过程，而且是采购政策、采购程序、采购过程及采购管理的总称，是一种对公共采购管理的制度，是一种政府行为。</w:t>
      </w:r>
    </w:p>
    <w:p>
      <w:pPr>
        <w:adjustRightInd w:val="0"/>
        <w:snapToGrid w:val="0"/>
        <w:spacing w:line="580" w:lineRule="atLeast"/>
        <w:ind w:firstLine="643" w:firstLineChars="200"/>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第十一部分  2024部门预算表</w:t>
      </w:r>
    </w:p>
    <w:p>
      <w:pPr>
        <w:adjustRightInd w:val="0"/>
        <w:snapToGrid w:val="0"/>
        <w:spacing w:line="580" w:lineRule="atLeast"/>
        <w:ind w:right="-781" w:rightChars="-244" w:firstLine="640" w:firstLineChars="200"/>
        <w:rPr>
          <w:rFonts w:hint="eastAsia" w:ascii="仿宋_GB2312" w:hAnsi="宋体"/>
          <w:bCs/>
          <w:sz w:val="32"/>
          <w:szCs w:val="32"/>
          <w:highlight w:val="none"/>
          <w:lang w:val="en-US" w:eastAsia="zh-CN"/>
        </w:rPr>
      </w:pPr>
      <w:r>
        <w:rPr>
          <w:rFonts w:hint="eastAsia" w:ascii="仿宋_GB2312" w:hAnsi="宋体" w:eastAsia="仿宋_GB2312"/>
          <w:bCs/>
          <w:sz w:val="32"/>
          <w:szCs w:val="32"/>
          <w:highlight w:val="none"/>
        </w:rPr>
        <w:t>一、</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年收支总表</w:t>
      </w:r>
    </w:p>
    <w:p>
      <w:pPr>
        <w:adjustRightInd w:val="0"/>
        <w:snapToGrid w:val="0"/>
        <w:spacing w:line="580" w:lineRule="atLeast"/>
        <w:ind w:right="-781" w:rightChars="-244" w:firstLine="640" w:firstLineChars="200"/>
        <w:rPr>
          <w:rFonts w:hint="default" w:ascii="仿宋_GB2312" w:hAnsi="宋体"/>
          <w:bCs/>
          <w:sz w:val="32"/>
          <w:szCs w:val="32"/>
          <w:highlight w:val="none"/>
          <w:lang w:val="en-US" w:eastAsia="zh-CN"/>
        </w:rPr>
      </w:pPr>
      <w:r>
        <w:drawing>
          <wp:inline distT="0" distB="0" distL="114300" distR="114300">
            <wp:extent cx="5272405" cy="5480685"/>
            <wp:effectExtent l="0" t="0" r="4445" b="571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272405" cy="5480685"/>
                    </a:xfrm>
                    <a:prstGeom prst="rect">
                      <a:avLst/>
                    </a:prstGeom>
                    <a:noFill/>
                    <a:ln w="9525">
                      <a:noFill/>
                    </a:ln>
                  </pic:spPr>
                </pic:pic>
              </a:graphicData>
            </a:graphic>
          </wp:inline>
        </w:drawing>
      </w:r>
    </w:p>
    <w:p>
      <w:pPr>
        <w:adjustRightInd w:val="0"/>
        <w:snapToGrid w:val="0"/>
        <w:spacing w:line="580" w:lineRule="atLeast"/>
        <w:ind w:firstLine="640" w:firstLineChars="200"/>
        <w:rPr>
          <w:rFonts w:hint="eastAsia" w:ascii="仿宋_GB2312" w:hAnsi="宋体"/>
          <w:bCs/>
          <w:sz w:val="32"/>
          <w:szCs w:val="32"/>
          <w:highlight w:val="none"/>
          <w:lang w:val="en-US" w:eastAsia="zh-CN"/>
        </w:rPr>
      </w:pPr>
      <w:r>
        <w:rPr>
          <w:rFonts w:hint="eastAsia" w:ascii="仿宋_GB2312" w:hAnsi="宋体" w:eastAsia="仿宋_GB2312"/>
          <w:bCs/>
          <w:sz w:val="32"/>
          <w:szCs w:val="32"/>
          <w:highlight w:val="none"/>
        </w:rPr>
        <w:t>二、</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年收入总表</w:t>
      </w:r>
    </w:p>
    <w:p>
      <w:pPr>
        <w:adjustRightInd w:val="0"/>
        <w:snapToGrid w:val="0"/>
        <w:spacing w:line="580" w:lineRule="atLeast"/>
        <w:ind w:firstLine="640" w:firstLineChars="200"/>
        <w:rPr>
          <w:rFonts w:hint="default" w:ascii="仿宋_GB2312" w:hAnsi="宋体"/>
          <w:bCs/>
          <w:sz w:val="32"/>
          <w:szCs w:val="32"/>
          <w:highlight w:val="none"/>
          <w:lang w:val="en-US" w:eastAsia="zh-CN"/>
        </w:rPr>
      </w:pPr>
      <w:r>
        <w:drawing>
          <wp:inline distT="0" distB="0" distL="114300" distR="114300">
            <wp:extent cx="5263515" cy="690245"/>
            <wp:effectExtent l="0" t="0" r="13335" b="1460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5263515" cy="690245"/>
                    </a:xfrm>
                    <a:prstGeom prst="rect">
                      <a:avLst/>
                    </a:prstGeom>
                    <a:noFill/>
                    <a:ln w="9525">
                      <a:noFill/>
                    </a:ln>
                  </pic:spPr>
                </pic:pic>
              </a:graphicData>
            </a:graphic>
          </wp:inline>
        </w:drawing>
      </w:r>
    </w:p>
    <w:p>
      <w:pPr>
        <w:adjustRightInd w:val="0"/>
        <w:snapToGrid w:val="0"/>
        <w:spacing w:line="580" w:lineRule="atLeast"/>
        <w:ind w:firstLine="640" w:firstLineChars="200"/>
        <w:rPr>
          <w:rFonts w:hint="eastAsia" w:ascii="仿宋_GB2312" w:hAnsi="宋体"/>
          <w:bCs/>
          <w:sz w:val="32"/>
          <w:szCs w:val="32"/>
          <w:highlight w:val="none"/>
          <w:lang w:val="en-US" w:eastAsia="zh-CN"/>
        </w:rPr>
      </w:pPr>
      <w:r>
        <w:rPr>
          <w:rFonts w:hint="eastAsia" w:ascii="仿宋_GB2312" w:hAnsi="宋体" w:eastAsia="仿宋_GB2312"/>
          <w:bCs/>
          <w:sz w:val="32"/>
          <w:szCs w:val="32"/>
          <w:highlight w:val="none"/>
        </w:rPr>
        <w:t>三、</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w:t>
      </w:r>
      <w:r>
        <w:rPr>
          <w:rFonts w:hint="eastAsia" w:ascii="仿宋_GB2312" w:hAnsi="宋体" w:eastAsia="仿宋_GB2312"/>
          <w:bCs/>
          <w:sz w:val="32"/>
          <w:szCs w:val="32"/>
          <w:highlight w:val="none"/>
        </w:rPr>
        <w:t>支</w:t>
      </w:r>
      <w:r>
        <w:rPr>
          <w:rFonts w:hint="eastAsia" w:ascii="仿宋_GB2312" w:hAnsi="宋体"/>
          <w:bCs/>
          <w:sz w:val="32"/>
          <w:szCs w:val="32"/>
          <w:highlight w:val="none"/>
          <w:lang w:val="en-US" w:eastAsia="zh-CN"/>
        </w:rPr>
        <w:t>出总表</w:t>
      </w:r>
    </w:p>
    <w:p>
      <w:pPr>
        <w:adjustRightInd w:val="0"/>
        <w:snapToGrid w:val="0"/>
        <w:spacing w:line="580" w:lineRule="atLeast"/>
        <w:ind w:firstLine="640" w:firstLineChars="200"/>
        <w:rPr>
          <w:rFonts w:hint="default" w:ascii="仿宋_GB2312" w:hAnsi="宋体"/>
          <w:bCs/>
          <w:sz w:val="32"/>
          <w:szCs w:val="32"/>
          <w:highlight w:val="none"/>
          <w:lang w:val="en-US" w:eastAsia="zh-CN"/>
        </w:rPr>
      </w:pPr>
      <w:r>
        <w:drawing>
          <wp:inline distT="0" distB="0" distL="114300" distR="114300">
            <wp:extent cx="5269865" cy="1005205"/>
            <wp:effectExtent l="0" t="0" r="6985" b="444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a:stretch>
                      <a:fillRect/>
                    </a:stretch>
                  </pic:blipFill>
                  <pic:spPr>
                    <a:xfrm>
                      <a:off x="0" y="0"/>
                      <a:ext cx="5269865" cy="1005205"/>
                    </a:xfrm>
                    <a:prstGeom prst="rect">
                      <a:avLst/>
                    </a:prstGeom>
                    <a:noFill/>
                    <a:ln w="9525">
                      <a:noFill/>
                    </a:ln>
                  </pic:spPr>
                </pic:pic>
              </a:graphicData>
            </a:graphic>
          </wp:inline>
        </w:drawing>
      </w:r>
    </w:p>
    <w:p>
      <w:pPr>
        <w:adjustRightInd w:val="0"/>
        <w:snapToGrid w:val="0"/>
        <w:spacing w:line="580" w:lineRule="atLeast"/>
        <w:ind w:firstLine="640" w:firstLineChars="200"/>
        <w:rPr>
          <w:rFonts w:hint="eastAsia" w:ascii="仿宋_GB2312" w:hAnsi="宋体" w:eastAsia="仿宋_GB2312"/>
          <w:bCs/>
          <w:sz w:val="32"/>
          <w:szCs w:val="32"/>
          <w:highlight w:val="none"/>
        </w:rPr>
      </w:pPr>
      <w:r>
        <w:rPr>
          <w:rFonts w:hint="eastAsia" w:ascii="仿宋_GB2312" w:hAnsi="宋体" w:eastAsia="仿宋_GB2312"/>
          <w:bCs/>
          <w:sz w:val="32"/>
          <w:szCs w:val="32"/>
          <w:highlight w:val="none"/>
        </w:rPr>
        <w:t>四、</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w:t>
      </w:r>
      <w:r>
        <w:rPr>
          <w:rFonts w:hint="eastAsia" w:ascii="仿宋_GB2312" w:hAnsi="宋体" w:eastAsia="仿宋_GB2312"/>
          <w:bCs/>
          <w:sz w:val="32"/>
          <w:szCs w:val="32"/>
          <w:highlight w:val="none"/>
        </w:rPr>
        <w:t>财政拨款收支总表</w:t>
      </w:r>
    </w:p>
    <w:p>
      <w:pPr>
        <w:adjustRightInd w:val="0"/>
        <w:snapToGrid w:val="0"/>
        <w:spacing w:line="580" w:lineRule="atLeast"/>
        <w:ind w:firstLine="640" w:firstLineChars="200"/>
        <w:rPr>
          <w:rFonts w:hint="eastAsia" w:ascii="仿宋_GB2312" w:hAnsi="宋体" w:eastAsia="仿宋_GB2312"/>
          <w:bCs/>
          <w:sz w:val="32"/>
          <w:szCs w:val="32"/>
          <w:highlight w:val="none"/>
        </w:rPr>
      </w:pPr>
      <w:r>
        <w:drawing>
          <wp:inline distT="0" distB="0" distL="114300" distR="114300">
            <wp:extent cx="5271135" cy="5510530"/>
            <wp:effectExtent l="0" t="0" r="5715" b="1397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8"/>
                    <a:stretch>
                      <a:fillRect/>
                    </a:stretch>
                  </pic:blipFill>
                  <pic:spPr>
                    <a:xfrm>
                      <a:off x="0" y="0"/>
                      <a:ext cx="5271135" cy="5510530"/>
                    </a:xfrm>
                    <a:prstGeom prst="rect">
                      <a:avLst/>
                    </a:prstGeom>
                    <a:noFill/>
                    <a:ln w="9525">
                      <a:noFill/>
                    </a:ln>
                  </pic:spPr>
                </pic:pic>
              </a:graphicData>
            </a:graphic>
          </wp:inline>
        </w:drawing>
      </w:r>
    </w:p>
    <w:p>
      <w:pPr>
        <w:adjustRightInd w:val="0"/>
        <w:snapToGrid w:val="0"/>
        <w:spacing w:line="580" w:lineRule="atLeast"/>
        <w:ind w:firstLine="640" w:firstLineChars="200"/>
        <w:rPr>
          <w:rFonts w:hint="eastAsia" w:ascii="仿宋_GB2312" w:hAnsi="宋体"/>
          <w:bCs/>
          <w:sz w:val="32"/>
          <w:szCs w:val="32"/>
          <w:highlight w:val="none"/>
          <w:lang w:val="en-US" w:eastAsia="zh-CN"/>
        </w:rPr>
      </w:pPr>
      <w:r>
        <w:rPr>
          <w:rFonts w:hint="eastAsia" w:ascii="仿宋_GB2312" w:hAnsi="宋体" w:eastAsia="仿宋_GB2312"/>
          <w:bCs/>
          <w:sz w:val="32"/>
          <w:szCs w:val="32"/>
          <w:highlight w:val="none"/>
        </w:rPr>
        <w:t>五、</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w:t>
      </w:r>
      <w:r>
        <w:rPr>
          <w:rFonts w:hint="eastAsia" w:ascii="仿宋_GB2312" w:hAnsi="宋体" w:eastAsia="仿宋_GB2312"/>
          <w:bCs/>
          <w:sz w:val="32"/>
          <w:szCs w:val="32"/>
          <w:highlight w:val="none"/>
        </w:rPr>
        <w:t>一般公共预算支出表</w:t>
      </w:r>
      <w:r>
        <w:rPr>
          <w:rFonts w:hint="eastAsia" w:ascii="仿宋_GB2312" w:hAnsi="宋体"/>
          <w:bCs/>
          <w:sz w:val="32"/>
          <w:szCs w:val="32"/>
          <w:highlight w:val="none"/>
          <w:lang w:eastAsia="zh-CN"/>
        </w:rPr>
        <w:t>（</w:t>
      </w:r>
      <w:r>
        <w:rPr>
          <w:rFonts w:hint="eastAsia" w:ascii="仿宋_GB2312" w:hAnsi="宋体"/>
          <w:bCs/>
          <w:sz w:val="32"/>
          <w:szCs w:val="32"/>
          <w:highlight w:val="none"/>
          <w:lang w:val="en-US" w:eastAsia="zh-CN"/>
        </w:rPr>
        <w:t>该表需要公开支出功能分类的类、款、项级科目）</w:t>
      </w:r>
    </w:p>
    <w:p>
      <w:pPr>
        <w:adjustRightInd w:val="0"/>
        <w:snapToGrid w:val="0"/>
        <w:spacing w:line="580" w:lineRule="atLeast"/>
        <w:ind w:firstLine="640" w:firstLineChars="200"/>
        <w:rPr>
          <w:rFonts w:hint="eastAsia" w:ascii="仿宋_GB2312" w:hAnsi="宋体"/>
          <w:bCs/>
          <w:sz w:val="32"/>
          <w:szCs w:val="32"/>
          <w:highlight w:val="none"/>
          <w:lang w:val="en-US" w:eastAsia="zh-CN"/>
        </w:rPr>
      </w:pPr>
      <w:r>
        <w:drawing>
          <wp:inline distT="0" distB="0" distL="114300" distR="114300">
            <wp:extent cx="5263515" cy="1146810"/>
            <wp:effectExtent l="0" t="0" r="13335" b="1524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9"/>
                    <a:stretch>
                      <a:fillRect/>
                    </a:stretch>
                  </pic:blipFill>
                  <pic:spPr>
                    <a:xfrm>
                      <a:off x="0" y="0"/>
                      <a:ext cx="5263515" cy="1146810"/>
                    </a:xfrm>
                    <a:prstGeom prst="rect">
                      <a:avLst/>
                    </a:prstGeom>
                    <a:noFill/>
                    <a:ln w="9525">
                      <a:noFill/>
                    </a:ln>
                  </pic:spPr>
                </pic:pic>
              </a:graphicData>
            </a:graphic>
          </wp:inline>
        </w:drawing>
      </w:r>
    </w:p>
    <w:p>
      <w:pPr>
        <w:adjustRightInd w:val="0"/>
        <w:snapToGrid w:val="0"/>
        <w:spacing w:line="580" w:lineRule="atLeast"/>
        <w:ind w:firstLine="640" w:firstLineChars="200"/>
        <w:rPr>
          <w:rFonts w:hint="eastAsia" w:ascii="仿宋_GB2312" w:hAnsi="宋体"/>
          <w:bCs/>
          <w:sz w:val="32"/>
          <w:szCs w:val="32"/>
          <w:highlight w:val="none"/>
          <w:lang w:val="en-US" w:eastAsia="zh-CN"/>
        </w:rPr>
      </w:pPr>
      <w:r>
        <w:rPr>
          <w:rFonts w:hint="eastAsia" w:ascii="仿宋_GB2312" w:hAnsi="宋体" w:eastAsia="仿宋_GB2312"/>
          <w:bCs/>
          <w:sz w:val="32"/>
          <w:szCs w:val="32"/>
          <w:highlight w:val="none"/>
        </w:rPr>
        <w:t>六、</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w:t>
      </w:r>
      <w:r>
        <w:rPr>
          <w:rFonts w:hint="eastAsia" w:ascii="仿宋_GB2312" w:hAnsi="宋体" w:eastAsia="仿宋_GB2312"/>
          <w:bCs/>
          <w:sz w:val="32"/>
          <w:szCs w:val="32"/>
          <w:highlight w:val="none"/>
        </w:rPr>
        <w:t>一般公共预算基本支出表</w:t>
      </w:r>
      <w:r>
        <w:rPr>
          <w:rFonts w:hint="eastAsia" w:ascii="仿宋_GB2312" w:hAnsi="宋体"/>
          <w:bCs/>
          <w:sz w:val="32"/>
          <w:szCs w:val="32"/>
          <w:highlight w:val="none"/>
          <w:lang w:val="en-US" w:eastAsia="zh-CN"/>
        </w:rPr>
        <w:t>(该表需要公开部门经济分类的类、款级科目）</w:t>
      </w:r>
    </w:p>
    <w:p>
      <w:pPr>
        <w:adjustRightInd w:val="0"/>
        <w:snapToGrid w:val="0"/>
        <w:spacing w:line="580" w:lineRule="atLeast"/>
        <w:ind w:firstLine="640" w:firstLineChars="200"/>
        <w:rPr>
          <w:rFonts w:hint="default" w:ascii="仿宋_GB2312" w:hAnsi="宋体"/>
          <w:bCs/>
          <w:sz w:val="32"/>
          <w:szCs w:val="32"/>
          <w:highlight w:val="none"/>
          <w:lang w:val="en-US" w:eastAsia="zh-CN"/>
        </w:rPr>
      </w:pPr>
      <w:r>
        <w:drawing>
          <wp:inline distT="0" distB="0" distL="114300" distR="114300">
            <wp:extent cx="5264785" cy="1085850"/>
            <wp:effectExtent l="0" t="0" r="12065"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0"/>
                    <a:stretch>
                      <a:fillRect/>
                    </a:stretch>
                  </pic:blipFill>
                  <pic:spPr>
                    <a:xfrm>
                      <a:off x="0" y="0"/>
                      <a:ext cx="5264785" cy="1085850"/>
                    </a:xfrm>
                    <a:prstGeom prst="rect">
                      <a:avLst/>
                    </a:prstGeom>
                    <a:noFill/>
                    <a:ln w="9525">
                      <a:noFill/>
                    </a:ln>
                  </pic:spPr>
                </pic:pic>
              </a:graphicData>
            </a:graphic>
          </wp:inline>
        </w:drawing>
      </w:r>
    </w:p>
    <w:p>
      <w:pPr>
        <w:adjustRightInd w:val="0"/>
        <w:snapToGrid w:val="0"/>
        <w:spacing w:line="580" w:lineRule="atLeast"/>
        <w:ind w:firstLine="640" w:firstLineChars="200"/>
        <w:rPr>
          <w:rFonts w:hint="eastAsia" w:ascii="仿宋_GB2312" w:hAnsi="宋体" w:eastAsia="仿宋_GB2312"/>
          <w:bCs/>
          <w:sz w:val="32"/>
          <w:szCs w:val="32"/>
          <w:highlight w:val="none"/>
        </w:rPr>
      </w:pPr>
      <w:r>
        <w:rPr>
          <w:rFonts w:hint="eastAsia" w:ascii="仿宋_GB2312" w:hAnsi="宋体" w:eastAsia="仿宋_GB2312"/>
          <w:bCs/>
          <w:sz w:val="32"/>
          <w:szCs w:val="32"/>
          <w:highlight w:val="none"/>
        </w:rPr>
        <w:t>七、</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年一般公共预算</w:t>
      </w:r>
      <w:r>
        <w:rPr>
          <w:rFonts w:hint="eastAsia" w:ascii="仿宋_GB2312" w:hAnsi="宋体" w:eastAsia="仿宋_GB2312"/>
          <w:bCs/>
          <w:sz w:val="32"/>
          <w:szCs w:val="32"/>
          <w:highlight w:val="none"/>
        </w:rPr>
        <w:t>“三公”经费支出表</w:t>
      </w:r>
    </w:p>
    <w:tbl>
      <w:tblPr>
        <w:tblStyle w:val="6"/>
        <w:tblW w:w="93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30"/>
        <w:gridCol w:w="1363"/>
        <w:gridCol w:w="436"/>
        <w:gridCol w:w="600"/>
        <w:gridCol w:w="1500"/>
        <w:gridCol w:w="1827"/>
        <w:gridCol w:w="20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50" w:hRule="atLeast"/>
        </w:trPr>
        <w:tc>
          <w:tcPr>
            <w:tcW w:w="933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一般公共预算“三公”经费支出表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1530" w:type="dxa"/>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填报部门：</w:t>
            </w:r>
          </w:p>
        </w:tc>
        <w:tc>
          <w:tcPr>
            <w:tcW w:w="1799" w:type="dxa"/>
            <w:gridSpan w:val="2"/>
            <w:tcBorders>
              <w:top w:val="nil"/>
              <w:left w:val="nil"/>
              <w:bottom w:val="nil"/>
              <w:right w:val="nil"/>
            </w:tcBorders>
            <w:shd w:val="clear" w:color="auto" w:fill="auto"/>
            <w:vAlign w:val="bottom"/>
          </w:tcPr>
          <w:p>
            <w:pPr>
              <w:rPr>
                <w:rFonts w:hint="eastAsia" w:ascii="Calibri" w:hAnsi="Calibri" w:cs="Calibri"/>
                <w:i w:val="0"/>
                <w:iCs w:val="0"/>
                <w:color w:val="000000"/>
                <w:sz w:val="15"/>
                <w:szCs w:val="15"/>
                <w:u w:val="none"/>
              </w:rPr>
            </w:pPr>
          </w:p>
        </w:tc>
        <w:tc>
          <w:tcPr>
            <w:tcW w:w="600" w:type="dxa"/>
            <w:tcBorders>
              <w:top w:val="nil"/>
              <w:left w:val="nil"/>
              <w:bottom w:val="nil"/>
              <w:right w:val="nil"/>
            </w:tcBorders>
            <w:shd w:val="clear" w:color="auto" w:fill="auto"/>
            <w:vAlign w:val="bottom"/>
          </w:tcPr>
          <w:p>
            <w:pPr>
              <w:rPr>
                <w:rFonts w:hint="default" w:ascii="Calibri" w:hAnsi="Calibri" w:cs="Calibri"/>
                <w:i w:val="0"/>
                <w:iCs w:val="0"/>
                <w:color w:val="000000"/>
                <w:sz w:val="15"/>
                <w:szCs w:val="15"/>
                <w:u w:val="none"/>
              </w:rPr>
            </w:pPr>
          </w:p>
        </w:tc>
        <w:tc>
          <w:tcPr>
            <w:tcW w:w="1500" w:type="dxa"/>
            <w:tcBorders>
              <w:top w:val="nil"/>
              <w:left w:val="nil"/>
              <w:bottom w:val="nil"/>
              <w:right w:val="nil"/>
            </w:tcBorders>
            <w:shd w:val="clear" w:color="auto" w:fill="auto"/>
            <w:vAlign w:val="bottom"/>
          </w:tcPr>
          <w:p>
            <w:pPr>
              <w:rPr>
                <w:rFonts w:hint="default" w:ascii="Calibri" w:hAnsi="Calibri" w:cs="Calibri"/>
                <w:i w:val="0"/>
                <w:iCs w:val="0"/>
                <w:color w:val="000000"/>
                <w:sz w:val="15"/>
                <w:szCs w:val="15"/>
                <w:u w:val="none"/>
              </w:rPr>
            </w:pPr>
          </w:p>
        </w:tc>
        <w:tc>
          <w:tcPr>
            <w:tcW w:w="1827" w:type="dxa"/>
            <w:tcBorders>
              <w:top w:val="nil"/>
              <w:left w:val="nil"/>
              <w:bottom w:val="nil"/>
              <w:right w:val="nil"/>
            </w:tcBorders>
            <w:shd w:val="clear" w:color="auto" w:fill="auto"/>
            <w:vAlign w:val="bottom"/>
          </w:tcPr>
          <w:p>
            <w:pPr>
              <w:rPr>
                <w:rFonts w:hint="default" w:ascii="Calibri" w:hAnsi="Calibri" w:cs="Calibri"/>
                <w:i w:val="0"/>
                <w:iCs w:val="0"/>
                <w:color w:val="000000"/>
                <w:sz w:val="15"/>
                <w:szCs w:val="15"/>
                <w:u w:val="none"/>
              </w:rPr>
            </w:pPr>
          </w:p>
        </w:tc>
        <w:tc>
          <w:tcPr>
            <w:tcW w:w="2074"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“三公”经费合计</w:t>
            </w:r>
          </w:p>
        </w:tc>
        <w:tc>
          <w:tcPr>
            <w:tcW w:w="13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因公出国（境）费</w:t>
            </w:r>
          </w:p>
        </w:tc>
        <w:tc>
          <w:tcPr>
            <w:tcW w:w="43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公务用车购置及运行费</w:t>
            </w:r>
          </w:p>
        </w:tc>
        <w:tc>
          <w:tcPr>
            <w:tcW w:w="20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小计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公务用车购置费</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公务用车运行费</w:t>
            </w:r>
          </w:p>
        </w:tc>
        <w:tc>
          <w:tcPr>
            <w:tcW w:w="20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CCCCFF"/>
            <w:vAlign w:val="center"/>
          </w:tcPr>
          <w:p>
            <w:pPr>
              <w:keepNext w:val="0"/>
              <w:keepLines w:val="0"/>
              <w:widowControl/>
              <w:suppressLineNumbers w:val="0"/>
              <w:jc w:val="right"/>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0.00</w:t>
            </w:r>
          </w:p>
        </w:tc>
        <w:tc>
          <w:tcPr>
            <w:tcW w:w="1363" w:type="dxa"/>
            <w:tcBorders>
              <w:top w:val="single" w:color="000000" w:sz="4" w:space="0"/>
              <w:left w:val="single" w:color="000000" w:sz="4" w:space="0"/>
              <w:bottom w:val="single" w:color="000000" w:sz="4" w:space="0"/>
              <w:right w:val="single" w:color="000000" w:sz="4" w:space="0"/>
            </w:tcBorders>
            <w:shd w:val="clear" w:color="auto" w:fill="CCCCFF"/>
            <w:vAlign w:val="center"/>
          </w:tcPr>
          <w:p>
            <w:pPr>
              <w:keepNext w:val="0"/>
              <w:keepLines w:val="0"/>
              <w:widowControl/>
              <w:suppressLineNumbers w:val="0"/>
              <w:jc w:val="right"/>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0.00</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CCCCFF"/>
            <w:vAlign w:val="center"/>
          </w:tcPr>
          <w:p>
            <w:pPr>
              <w:keepNext w:val="0"/>
              <w:keepLines w:val="0"/>
              <w:widowControl/>
              <w:suppressLineNumbers w:val="0"/>
              <w:jc w:val="right"/>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CCCCFF"/>
            <w:vAlign w:val="center"/>
          </w:tcPr>
          <w:p>
            <w:pPr>
              <w:keepNext w:val="0"/>
              <w:keepLines w:val="0"/>
              <w:widowControl/>
              <w:suppressLineNumbers w:val="0"/>
              <w:jc w:val="right"/>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0.00</w:t>
            </w:r>
          </w:p>
        </w:tc>
        <w:tc>
          <w:tcPr>
            <w:tcW w:w="1827" w:type="dxa"/>
            <w:tcBorders>
              <w:top w:val="single" w:color="000000" w:sz="4" w:space="0"/>
              <w:left w:val="single" w:color="000000" w:sz="4" w:space="0"/>
              <w:bottom w:val="single" w:color="000000" w:sz="4" w:space="0"/>
              <w:right w:val="single" w:color="000000" w:sz="4" w:space="0"/>
            </w:tcBorders>
            <w:shd w:val="clear" w:color="auto" w:fill="CCCCFF"/>
            <w:vAlign w:val="center"/>
          </w:tcPr>
          <w:p>
            <w:pPr>
              <w:keepNext w:val="0"/>
              <w:keepLines w:val="0"/>
              <w:widowControl/>
              <w:suppressLineNumbers w:val="0"/>
              <w:jc w:val="right"/>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0.00</w:t>
            </w:r>
          </w:p>
        </w:tc>
        <w:tc>
          <w:tcPr>
            <w:tcW w:w="2074" w:type="dxa"/>
            <w:tcBorders>
              <w:top w:val="single" w:color="000000" w:sz="4" w:space="0"/>
              <w:left w:val="single" w:color="000000" w:sz="4" w:space="0"/>
              <w:bottom w:val="single" w:color="000000" w:sz="4" w:space="0"/>
              <w:right w:val="single" w:color="000000" w:sz="4" w:space="0"/>
            </w:tcBorders>
            <w:shd w:val="clear" w:color="auto" w:fill="CCCCFF"/>
            <w:vAlign w:val="center"/>
          </w:tcPr>
          <w:p>
            <w:pPr>
              <w:keepNext w:val="0"/>
              <w:keepLines w:val="0"/>
              <w:widowControl/>
              <w:suppressLineNumbers w:val="0"/>
              <w:jc w:val="right"/>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0.00</w:t>
            </w:r>
          </w:p>
        </w:tc>
      </w:tr>
    </w:tbl>
    <w:p>
      <w:pPr>
        <w:rPr>
          <w:rFonts w:hint="default" w:eastAsiaTheme="minorEastAsia"/>
          <w:b/>
          <w:bCs/>
          <w:sz w:val="15"/>
          <w:szCs w:val="15"/>
          <w:lang w:val="en-US" w:eastAsia="zh-CN"/>
        </w:rPr>
      </w:pPr>
      <w:r>
        <w:rPr>
          <w:rFonts w:hint="eastAsia"/>
          <w:b/>
          <w:bCs/>
          <w:sz w:val="15"/>
          <w:szCs w:val="15"/>
          <w:lang w:eastAsia="zh-CN"/>
        </w:rPr>
        <w:t>附注：</w:t>
      </w:r>
      <w:r>
        <w:rPr>
          <w:rFonts w:hint="eastAsia"/>
          <w:b/>
          <w:bCs/>
          <w:sz w:val="15"/>
          <w:szCs w:val="15"/>
          <w:lang w:val="en-US" w:eastAsia="zh-CN"/>
        </w:rPr>
        <w:t>2024年本部门预算中没有三公经费预算拨款安排的支出，故一般公共预算“三公”经费支出表无数据，与上年预算一致。</w:t>
      </w:r>
    </w:p>
    <w:p>
      <w:pPr>
        <w:adjustRightInd w:val="0"/>
        <w:snapToGrid w:val="0"/>
        <w:spacing w:line="580" w:lineRule="atLeast"/>
        <w:ind w:firstLine="640" w:firstLineChars="200"/>
        <w:rPr>
          <w:rFonts w:hint="eastAsia" w:ascii="仿宋_GB2312" w:hAnsi="宋体" w:eastAsia="仿宋_GB2312"/>
          <w:bCs/>
          <w:sz w:val="32"/>
          <w:szCs w:val="32"/>
          <w:highlight w:val="none"/>
          <w:lang w:val="en-US" w:eastAsia="zh-CN"/>
        </w:rPr>
      </w:pPr>
    </w:p>
    <w:p>
      <w:pPr>
        <w:adjustRightInd w:val="0"/>
        <w:snapToGrid w:val="0"/>
        <w:spacing w:line="580" w:lineRule="atLeast"/>
        <w:ind w:firstLine="640" w:firstLineChars="200"/>
        <w:rPr>
          <w:rFonts w:hint="eastAsia" w:ascii="仿宋_GB2312" w:hAnsi="宋体" w:eastAsia="仿宋_GB2312"/>
          <w:bCs/>
          <w:sz w:val="32"/>
          <w:szCs w:val="32"/>
          <w:highlight w:val="none"/>
        </w:rPr>
      </w:pPr>
      <w:r>
        <w:rPr>
          <w:rFonts w:hint="eastAsia" w:ascii="仿宋_GB2312" w:hAnsi="宋体" w:eastAsia="仿宋_GB2312"/>
          <w:bCs/>
          <w:sz w:val="32"/>
          <w:szCs w:val="32"/>
          <w:highlight w:val="none"/>
        </w:rPr>
        <w:t>八、</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w:t>
      </w:r>
      <w:r>
        <w:rPr>
          <w:rFonts w:hint="eastAsia" w:ascii="仿宋_GB2312" w:hAnsi="宋体" w:eastAsia="仿宋_GB2312"/>
          <w:bCs/>
          <w:sz w:val="32"/>
          <w:szCs w:val="32"/>
          <w:highlight w:val="none"/>
        </w:rPr>
        <w:t>政府性基金预算支出表</w:t>
      </w:r>
    </w:p>
    <w:tbl>
      <w:tblPr>
        <w:tblStyle w:val="6"/>
        <w:tblW w:w="90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41"/>
        <w:gridCol w:w="1815"/>
        <w:gridCol w:w="1148"/>
        <w:gridCol w:w="1815"/>
        <w:gridCol w:w="21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50" w:hRule="atLeast"/>
        </w:trPr>
        <w:tc>
          <w:tcPr>
            <w:tcW w:w="9060"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2141" w:type="dxa"/>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填报部门：</w:t>
            </w:r>
          </w:p>
        </w:tc>
        <w:tc>
          <w:tcPr>
            <w:tcW w:w="181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48"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81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14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21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科目编码</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科目名称</w:t>
            </w:r>
          </w:p>
        </w:tc>
        <w:tc>
          <w:tcPr>
            <w:tcW w:w="51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本年政府性基金预算支出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21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合计</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基本支出</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2141" w:type="dxa"/>
            <w:tcBorders>
              <w:top w:val="single" w:color="000000" w:sz="4" w:space="0"/>
              <w:left w:val="single" w:color="000000" w:sz="4" w:space="0"/>
              <w:bottom w:val="single" w:color="000000" w:sz="4" w:space="0"/>
              <w:right w:val="single" w:color="000000" w:sz="4" w:space="0"/>
            </w:tcBorders>
            <w:shd w:val="clear" w:color="auto" w:fill="CCCCFF"/>
            <w:vAlign w:val="center"/>
          </w:tcPr>
          <w:p>
            <w:pPr>
              <w:jc w:val="left"/>
              <w:rPr>
                <w:rFonts w:hint="eastAsia" w:ascii="宋体" w:hAnsi="宋体" w:eastAsia="宋体" w:cs="宋体"/>
                <w:i w:val="0"/>
                <w:iCs w:val="0"/>
                <w:color w:val="000000"/>
                <w:sz w:val="15"/>
                <w:szCs w:val="15"/>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CCCCFF"/>
            <w:vAlign w:val="center"/>
          </w:tcPr>
          <w:p>
            <w:pPr>
              <w:jc w:val="left"/>
              <w:rPr>
                <w:rFonts w:hint="eastAsia" w:ascii="宋体" w:hAnsi="宋体" w:eastAsia="宋体" w:cs="宋体"/>
                <w:i w:val="0"/>
                <w:iCs w:val="0"/>
                <w:color w:val="000000"/>
                <w:sz w:val="15"/>
                <w:szCs w:val="15"/>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CCCCFF"/>
            <w:vAlign w:val="center"/>
          </w:tcPr>
          <w:p>
            <w:pPr>
              <w:jc w:val="right"/>
              <w:rPr>
                <w:rFonts w:hint="eastAsia" w:ascii="宋体" w:hAnsi="宋体" w:eastAsia="宋体" w:cs="宋体"/>
                <w:i w:val="0"/>
                <w:iCs w:val="0"/>
                <w:color w:val="000000"/>
                <w:sz w:val="15"/>
                <w:szCs w:val="15"/>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CCCCFF"/>
            <w:vAlign w:val="center"/>
          </w:tcPr>
          <w:p>
            <w:pPr>
              <w:jc w:val="right"/>
              <w:rPr>
                <w:rFonts w:hint="eastAsia" w:ascii="宋体" w:hAnsi="宋体" w:eastAsia="宋体" w:cs="宋体"/>
                <w:i w:val="0"/>
                <w:iCs w:val="0"/>
                <w:color w:val="000000"/>
                <w:sz w:val="15"/>
                <w:szCs w:val="15"/>
                <w:u w:val="none"/>
              </w:rPr>
            </w:pPr>
          </w:p>
        </w:tc>
        <w:tc>
          <w:tcPr>
            <w:tcW w:w="2141" w:type="dxa"/>
            <w:tcBorders>
              <w:top w:val="single" w:color="000000" w:sz="4" w:space="0"/>
              <w:left w:val="single" w:color="000000" w:sz="4" w:space="0"/>
              <w:bottom w:val="single" w:color="000000" w:sz="4" w:space="0"/>
              <w:right w:val="single" w:color="000000" w:sz="4" w:space="0"/>
            </w:tcBorders>
            <w:shd w:val="clear" w:color="auto" w:fill="CCCCFF"/>
            <w:vAlign w:val="center"/>
          </w:tcPr>
          <w:p>
            <w:pPr>
              <w:jc w:val="right"/>
              <w:rPr>
                <w:rFonts w:hint="eastAsia" w:ascii="宋体" w:hAnsi="宋体" w:eastAsia="宋体" w:cs="宋体"/>
                <w:i w:val="0"/>
                <w:iCs w:val="0"/>
                <w:color w:val="000000"/>
                <w:sz w:val="15"/>
                <w:szCs w:val="15"/>
                <w:u w:val="none"/>
              </w:rPr>
            </w:pPr>
          </w:p>
        </w:tc>
      </w:tr>
    </w:tbl>
    <w:p>
      <w:pPr>
        <w:rPr>
          <w:rFonts w:hint="eastAsia"/>
          <w:b/>
          <w:bCs/>
          <w:sz w:val="15"/>
          <w:szCs w:val="15"/>
          <w:lang w:val="en-US" w:eastAsia="zh-CN"/>
        </w:rPr>
      </w:pPr>
      <w:r>
        <w:rPr>
          <w:rFonts w:hint="eastAsia"/>
          <w:b/>
          <w:bCs/>
          <w:sz w:val="15"/>
          <w:szCs w:val="15"/>
          <w:lang w:eastAsia="zh-CN"/>
        </w:rPr>
        <w:t>附注：</w:t>
      </w:r>
      <w:r>
        <w:rPr>
          <w:rFonts w:hint="eastAsia"/>
          <w:b/>
          <w:bCs/>
          <w:sz w:val="15"/>
          <w:szCs w:val="15"/>
          <w:lang w:val="en-US" w:eastAsia="zh-CN"/>
        </w:rPr>
        <w:t>2024年本部门预算中没有使用政府基金预算拨款的安排支出，故政府基金预算支出表无数据，与上年预算一致。</w:t>
      </w:r>
    </w:p>
    <w:p>
      <w:pPr>
        <w:adjustRightInd w:val="0"/>
        <w:snapToGrid w:val="0"/>
        <w:spacing w:line="580" w:lineRule="atLeast"/>
        <w:ind w:firstLine="640" w:firstLineChars="200"/>
        <w:rPr>
          <w:rFonts w:hint="eastAsia" w:ascii="仿宋_GB2312" w:hAnsi="宋体" w:eastAsia="仿宋_GB2312"/>
          <w:bCs/>
          <w:sz w:val="32"/>
          <w:szCs w:val="32"/>
          <w:highlight w:val="none"/>
          <w:lang w:eastAsia="zh-CN"/>
        </w:rPr>
      </w:pPr>
    </w:p>
    <w:p>
      <w:pPr>
        <w:adjustRightInd w:val="0"/>
        <w:snapToGrid w:val="0"/>
        <w:spacing w:line="580" w:lineRule="atLeast"/>
        <w:ind w:firstLine="640" w:firstLineChars="200"/>
        <w:rPr>
          <w:rFonts w:hint="eastAsia" w:ascii="仿宋_GB2312" w:hAnsi="宋体"/>
          <w:bCs/>
          <w:sz w:val="32"/>
          <w:szCs w:val="32"/>
          <w:highlight w:val="none"/>
          <w:lang w:val="en-US" w:eastAsia="zh-CN"/>
        </w:rPr>
      </w:pPr>
      <w:r>
        <w:rPr>
          <w:rFonts w:hint="eastAsia" w:ascii="仿宋_GB2312" w:hAnsi="宋体" w:eastAsia="仿宋_GB2312"/>
          <w:bCs/>
          <w:sz w:val="32"/>
          <w:szCs w:val="32"/>
          <w:highlight w:val="none"/>
          <w:lang w:eastAsia="zh-CN"/>
        </w:rPr>
        <w:t>九、</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年国有资本经营预算支出表</w:t>
      </w:r>
    </w:p>
    <w:tbl>
      <w:tblPr>
        <w:tblStyle w:val="6"/>
        <w:tblW w:w="81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52"/>
        <w:gridCol w:w="1752"/>
        <w:gridCol w:w="1108"/>
        <w:gridCol w:w="1752"/>
        <w:gridCol w:w="17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00" w:hRule="atLeast"/>
        </w:trPr>
        <w:tc>
          <w:tcPr>
            <w:tcW w:w="8115"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国有资本经营预算支出表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trPr>
        <w:tc>
          <w:tcPr>
            <w:tcW w:w="175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科目编码</w:t>
            </w:r>
          </w:p>
        </w:tc>
        <w:tc>
          <w:tcPr>
            <w:tcW w:w="175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科目名称</w:t>
            </w:r>
          </w:p>
        </w:tc>
        <w:tc>
          <w:tcPr>
            <w:tcW w:w="4611"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本年国有资本经营预算支出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75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75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小计</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基本支出</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752" w:type="dxa"/>
            <w:tcBorders>
              <w:top w:val="single" w:color="000000" w:sz="4" w:space="0"/>
              <w:left w:val="single" w:color="000000" w:sz="4" w:space="0"/>
              <w:bottom w:val="single" w:color="000000" w:sz="4" w:space="0"/>
              <w:right w:val="single" w:color="000000" w:sz="4" w:space="0"/>
            </w:tcBorders>
            <w:shd w:val="clear" w:color="auto" w:fill="CCCCFF"/>
            <w:vAlign w:val="center"/>
          </w:tcPr>
          <w:p>
            <w:pPr>
              <w:rPr>
                <w:rFonts w:hint="default" w:ascii="Calibri" w:hAnsi="Calibri" w:cs="Calibri"/>
                <w:i w:val="0"/>
                <w:iCs w:val="0"/>
                <w:color w:val="000000"/>
                <w:sz w:val="15"/>
                <w:szCs w:val="15"/>
                <w:u w:val="none"/>
              </w:rPr>
            </w:pPr>
          </w:p>
        </w:tc>
        <w:tc>
          <w:tcPr>
            <w:tcW w:w="1752" w:type="dxa"/>
            <w:tcBorders>
              <w:top w:val="single" w:color="000000" w:sz="4" w:space="0"/>
              <w:left w:val="single" w:color="000000" w:sz="4" w:space="0"/>
              <w:bottom w:val="single" w:color="000000" w:sz="4" w:space="0"/>
              <w:right w:val="single" w:color="000000" w:sz="4" w:space="0"/>
            </w:tcBorders>
            <w:shd w:val="clear" w:color="auto" w:fill="CCCCFF"/>
            <w:vAlign w:val="center"/>
          </w:tcPr>
          <w:p>
            <w:pPr>
              <w:rPr>
                <w:rFonts w:hint="default" w:ascii="Calibri" w:hAnsi="Calibri" w:cs="Calibri"/>
                <w:i w:val="0"/>
                <w:iCs w:val="0"/>
                <w:color w:val="000000"/>
                <w:sz w:val="15"/>
                <w:szCs w:val="15"/>
                <w:u w:val="none"/>
              </w:rPr>
            </w:pPr>
          </w:p>
        </w:tc>
        <w:tc>
          <w:tcPr>
            <w:tcW w:w="1108" w:type="dxa"/>
            <w:tcBorders>
              <w:top w:val="single" w:color="000000" w:sz="4" w:space="0"/>
              <w:left w:val="single" w:color="000000" w:sz="4" w:space="0"/>
              <w:bottom w:val="single" w:color="000000" w:sz="4" w:space="0"/>
              <w:right w:val="single" w:color="000000" w:sz="4" w:space="0"/>
            </w:tcBorders>
            <w:shd w:val="clear" w:color="auto" w:fill="CCCCFF"/>
            <w:vAlign w:val="center"/>
          </w:tcPr>
          <w:p>
            <w:pPr>
              <w:rPr>
                <w:rFonts w:hint="default" w:ascii="Calibri" w:hAnsi="Calibri" w:cs="Calibri"/>
                <w:i w:val="0"/>
                <w:iCs w:val="0"/>
                <w:color w:val="000000"/>
                <w:sz w:val="15"/>
                <w:szCs w:val="15"/>
                <w:u w:val="none"/>
              </w:rPr>
            </w:pPr>
          </w:p>
        </w:tc>
        <w:tc>
          <w:tcPr>
            <w:tcW w:w="1752" w:type="dxa"/>
            <w:tcBorders>
              <w:top w:val="single" w:color="000000" w:sz="4" w:space="0"/>
              <w:left w:val="single" w:color="000000" w:sz="4" w:space="0"/>
              <w:bottom w:val="single" w:color="000000" w:sz="4" w:space="0"/>
              <w:right w:val="single" w:color="000000" w:sz="4" w:space="0"/>
            </w:tcBorders>
            <w:shd w:val="clear" w:color="auto" w:fill="CCCCFF"/>
            <w:vAlign w:val="center"/>
          </w:tcPr>
          <w:p>
            <w:pPr>
              <w:rPr>
                <w:rFonts w:hint="default" w:ascii="Calibri" w:hAnsi="Calibri" w:cs="Calibri"/>
                <w:i w:val="0"/>
                <w:iCs w:val="0"/>
                <w:color w:val="000000"/>
                <w:sz w:val="15"/>
                <w:szCs w:val="15"/>
                <w:u w:val="none"/>
              </w:rPr>
            </w:pPr>
          </w:p>
        </w:tc>
        <w:tc>
          <w:tcPr>
            <w:tcW w:w="1751" w:type="dxa"/>
            <w:tcBorders>
              <w:top w:val="single" w:color="000000" w:sz="4" w:space="0"/>
              <w:left w:val="single" w:color="000000" w:sz="4" w:space="0"/>
              <w:bottom w:val="single" w:color="000000" w:sz="4" w:space="0"/>
              <w:right w:val="single" w:color="000000" w:sz="4" w:space="0"/>
            </w:tcBorders>
            <w:shd w:val="clear" w:color="auto" w:fill="CCCCFF"/>
            <w:vAlign w:val="center"/>
          </w:tcPr>
          <w:p>
            <w:pPr>
              <w:rPr>
                <w:rFonts w:hint="default" w:ascii="Calibri" w:hAnsi="Calibri" w:cs="Calibri"/>
                <w:i w:val="0"/>
                <w:iCs w:val="0"/>
                <w:color w:val="000000"/>
                <w:sz w:val="15"/>
                <w:szCs w:val="15"/>
                <w:u w:val="none"/>
              </w:rPr>
            </w:pPr>
          </w:p>
        </w:tc>
      </w:tr>
    </w:tbl>
    <w:p>
      <w:pPr>
        <w:rPr>
          <w:rFonts w:hint="eastAsia"/>
          <w:b/>
          <w:bCs/>
          <w:sz w:val="15"/>
          <w:szCs w:val="15"/>
          <w:lang w:val="en-US" w:eastAsia="zh-CN"/>
        </w:rPr>
      </w:pPr>
      <w:r>
        <w:rPr>
          <w:rFonts w:hint="eastAsia"/>
          <w:b/>
          <w:bCs/>
          <w:sz w:val="15"/>
          <w:szCs w:val="15"/>
          <w:lang w:eastAsia="zh-CN"/>
        </w:rPr>
        <w:t>附注：</w:t>
      </w:r>
      <w:r>
        <w:rPr>
          <w:rFonts w:hint="eastAsia"/>
          <w:b/>
          <w:bCs/>
          <w:sz w:val="15"/>
          <w:szCs w:val="15"/>
          <w:lang w:val="en-US" w:eastAsia="zh-CN"/>
        </w:rPr>
        <w:t>2024年本部门预算中没有使用国有资本经营预算拨款安排的支出，故国有资本经营预算支出表无数据，与上年预算一致。</w:t>
      </w:r>
    </w:p>
    <w:p>
      <w:pPr>
        <w:adjustRightInd w:val="0"/>
        <w:snapToGrid w:val="0"/>
        <w:spacing w:line="580" w:lineRule="atLeast"/>
        <w:rPr>
          <w:rFonts w:hint="eastAsia" w:ascii="仿宋_GB2312" w:hAnsi="宋体"/>
          <w:bCs/>
          <w:sz w:val="32"/>
          <w:szCs w:val="32"/>
          <w:highlight w:val="none"/>
          <w:lang w:val="en-US" w:eastAsia="zh-CN"/>
        </w:rPr>
      </w:pPr>
    </w:p>
    <w:p>
      <w:pPr>
        <w:adjustRightInd w:val="0"/>
        <w:snapToGrid w:val="0"/>
        <w:spacing w:line="580" w:lineRule="atLeast"/>
        <w:ind w:firstLine="640" w:firstLineChars="200"/>
        <w:rPr>
          <w:rFonts w:hint="eastAsia" w:ascii="仿宋_GB2312" w:hAnsi="宋体"/>
          <w:bCs/>
          <w:sz w:val="32"/>
          <w:szCs w:val="32"/>
          <w:highlight w:val="none"/>
          <w:lang w:eastAsia="zh-CN"/>
        </w:rPr>
      </w:pPr>
      <w:r>
        <w:rPr>
          <w:rFonts w:hint="eastAsia" w:ascii="仿宋_GB2312" w:hAnsi="宋体"/>
          <w:bCs/>
          <w:sz w:val="32"/>
          <w:szCs w:val="32"/>
          <w:highlight w:val="none"/>
          <w:lang w:val="en-US" w:eastAsia="zh-CN"/>
        </w:rPr>
        <w:t>十、</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年项目</w:t>
      </w:r>
      <w:r>
        <w:rPr>
          <w:rFonts w:hint="eastAsia" w:ascii="仿宋_GB2312" w:hAnsi="宋体" w:eastAsia="仿宋_GB2312"/>
          <w:bCs/>
          <w:sz w:val="32"/>
          <w:szCs w:val="32"/>
          <w:highlight w:val="none"/>
        </w:rPr>
        <w:t>支出</w:t>
      </w:r>
      <w:r>
        <w:rPr>
          <w:rFonts w:hint="eastAsia" w:ascii="仿宋_GB2312" w:hAnsi="宋体"/>
          <w:bCs/>
          <w:sz w:val="32"/>
          <w:szCs w:val="32"/>
          <w:highlight w:val="none"/>
          <w:lang w:eastAsia="zh-CN"/>
        </w:rPr>
        <w:t>表</w:t>
      </w:r>
    </w:p>
    <w:tbl>
      <w:tblPr>
        <w:tblStyle w:val="6"/>
        <w:tblW w:w="100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66"/>
        <w:gridCol w:w="819"/>
        <w:gridCol w:w="518"/>
        <w:gridCol w:w="1005"/>
        <w:gridCol w:w="975"/>
        <w:gridCol w:w="870"/>
        <w:gridCol w:w="945"/>
        <w:gridCol w:w="1126"/>
        <w:gridCol w:w="930"/>
        <w:gridCol w:w="885"/>
        <w:gridCol w:w="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50" w:hRule="atLeast"/>
        </w:trPr>
        <w:tc>
          <w:tcPr>
            <w:tcW w:w="10005"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966" w:type="dxa"/>
            <w:tcBorders>
              <w:top w:val="nil"/>
              <w:left w:val="nil"/>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填报部门：</w:t>
            </w:r>
          </w:p>
        </w:tc>
        <w:tc>
          <w:tcPr>
            <w:tcW w:w="819" w:type="dxa"/>
            <w:tcBorders>
              <w:top w:val="nil"/>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518" w:type="dxa"/>
            <w:tcBorders>
              <w:top w:val="nil"/>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005" w:type="dxa"/>
            <w:tcBorders>
              <w:top w:val="nil"/>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75" w:type="dxa"/>
            <w:tcBorders>
              <w:top w:val="nil"/>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870" w:type="dxa"/>
            <w:tcBorders>
              <w:top w:val="nil"/>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45" w:type="dxa"/>
            <w:tcBorders>
              <w:top w:val="nil"/>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26" w:type="dxa"/>
            <w:tcBorders>
              <w:top w:val="nil"/>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30" w:type="dxa"/>
            <w:tcBorders>
              <w:top w:val="nil"/>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885" w:type="dxa"/>
            <w:tcBorders>
              <w:top w:val="nil"/>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66"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96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项目分类</w:t>
            </w:r>
          </w:p>
        </w:tc>
        <w:tc>
          <w:tcPr>
            <w:tcW w:w="81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项目名称</w:t>
            </w:r>
          </w:p>
        </w:tc>
        <w:tc>
          <w:tcPr>
            <w:tcW w:w="51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合计</w:t>
            </w:r>
          </w:p>
        </w:tc>
        <w:tc>
          <w:tcPr>
            <w:tcW w:w="2850"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本年拨款</w:t>
            </w:r>
          </w:p>
        </w:tc>
        <w:tc>
          <w:tcPr>
            <w:tcW w:w="3001"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财政拨款结转结余</w:t>
            </w:r>
          </w:p>
        </w:tc>
        <w:tc>
          <w:tcPr>
            <w:tcW w:w="88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财政专户管理资金</w:t>
            </w:r>
          </w:p>
        </w:tc>
        <w:tc>
          <w:tcPr>
            <w:tcW w:w="96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96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81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5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一般公共预算</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政府性基金预算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国有资本经营预算</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一般公共预算</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政府性基金预算</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国有资本经营预算</w:t>
            </w:r>
          </w:p>
        </w:tc>
        <w:tc>
          <w:tcPr>
            <w:tcW w:w="88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96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966" w:type="dxa"/>
            <w:tcBorders>
              <w:top w:val="single" w:color="000000" w:sz="4" w:space="0"/>
              <w:left w:val="single" w:color="000000" w:sz="4" w:space="0"/>
              <w:bottom w:val="single" w:color="000000" w:sz="4" w:space="0"/>
              <w:right w:val="single" w:color="000000" w:sz="4" w:space="0"/>
            </w:tcBorders>
            <w:shd w:val="clear" w:color="auto" w:fill="CCCCFF"/>
            <w:vAlign w:val="center"/>
          </w:tcPr>
          <w:p>
            <w:pPr>
              <w:rPr>
                <w:rFonts w:hint="eastAsia" w:ascii="Calibri" w:hAnsi="Calibri" w:cs="Calibri"/>
                <w:i w:val="0"/>
                <w:iCs w:val="0"/>
                <w:color w:val="000000"/>
                <w:sz w:val="15"/>
                <w:szCs w:val="15"/>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CCCCFF"/>
            <w:vAlign w:val="center"/>
          </w:tcPr>
          <w:p>
            <w:pPr>
              <w:jc w:val="left"/>
              <w:rPr>
                <w:rFonts w:hint="eastAsia" w:ascii="宋体" w:hAnsi="宋体" w:eastAsia="宋体" w:cs="宋体"/>
                <w:i w:val="0"/>
                <w:iCs w:val="0"/>
                <w:color w:val="000000"/>
                <w:sz w:val="15"/>
                <w:szCs w:val="15"/>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CCCCFF"/>
            <w:vAlign w:val="center"/>
          </w:tcPr>
          <w:p>
            <w:pPr>
              <w:jc w:val="right"/>
              <w:rPr>
                <w:rFonts w:hint="eastAsia" w:ascii="宋体" w:hAnsi="宋体" w:eastAsia="宋体" w:cs="宋体"/>
                <w:i w:val="0"/>
                <w:iCs w:val="0"/>
                <w:color w:val="000000"/>
                <w:sz w:val="15"/>
                <w:szCs w:val="15"/>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5"/>
                <w:szCs w:val="15"/>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5"/>
                <w:szCs w:val="15"/>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5"/>
                <w:szCs w:val="15"/>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5"/>
                <w:szCs w:val="15"/>
                <w:u w:val="none"/>
              </w:rPr>
            </w:pP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5"/>
                <w:szCs w:val="15"/>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5"/>
                <w:szCs w:val="15"/>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5"/>
                <w:szCs w:val="15"/>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5"/>
                <w:szCs w:val="15"/>
                <w:u w:val="none"/>
              </w:rPr>
            </w:pPr>
          </w:p>
        </w:tc>
      </w:tr>
    </w:tbl>
    <w:p>
      <w:pPr>
        <w:rPr>
          <w:rFonts w:hint="default"/>
          <w:b/>
          <w:bCs/>
          <w:sz w:val="15"/>
          <w:szCs w:val="15"/>
          <w:lang w:val="en-US" w:eastAsia="zh-CN"/>
        </w:rPr>
      </w:pPr>
      <w:r>
        <w:rPr>
          <w:rFonts w:hint="eastAsia"/>
          <w:b/>
          <w:bCs/>
          <w:sz w:val="15"/>
          <w:szCs w:val="15"/>
          <w:lang w:val="en-US" w:eastAsia="zh-CN"/>
        </w:rPr>
        <w:t>附注：2024年本部门预算中没有安排项目支出，故项目支出表无数据，与上一预算一致。</w:t>
      </w:r>
    </w:p>
    <w:p>
      <w:pPr>
        <w:adjustRightInd w:val="0"/>
        <w:snapToGrid w:val="0"/>
        <w:spacing w:line="580" w:lineRule="atLeast"/>
        <w:ind w:firstLine="640" w:firstLineChars="200"/>
        <w:rPr>
          <w:rFonts w:hint="eastAsia" w:ascii="仿宋_GB2312" w:hAnsi="宋体"/>
          <w:bCs/>
          <w:sz w:val="32"/>
          <w:szCs w:val="32"/>
          <w:highlight w:val="none"/>
          <w:lang w:eastAsia="zh-CN"/>
        </w:rPr>
      </w:pPr>
    </w:p>
    <w:p>
      <w:pPr>
        <w:adjustRightInd w:val="0"/>
        <w:snapToGrid w:val="0"/>
        <w:spacing w:line="580" w:lineRule="atLeast"/>
        <w:ind w:firstLine="643" w:firstLineChars="200"/>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 xml:space="preserve">第十二部分  </w:t>
      </w:r>
      <w:r>
        <w:rPr>
          <w:rFonts w:hint="eastAsia" w:ascii="黑体" w:hAnsi="黑体" w:eastAsia="黑体" w:cs="黑体"/>
          <w:b w:val="0"/>
          <w:bCs w:val="0"/>
          <w:sz w:val="32"/>
          <w:szCs w:val="32"/>
          <w:u w:val="none"/>
          <w:lang w:val="en-US" w:eastAsia="zh-CN"/>
        </w:rPr>
        <w:t>2024</w:t>
      </w:r>
      <w:r>
        <w:rPr>
          <w:rFonts w:hint="eastAsia" w:ascii="黑体" w:hAnsi="黑体" w:eastAsia="黑体" w:cs="黑体"/>
          <w:b/>
          <w:bCs/>
          <w:sz w:val="32"/>
          <w:szCs w:val="32"/>
          <w:u w:val="none"/>
          <w:lang w:val="en-US" w:eastAsia="zh-CN"/>
        </w:rPr>
        <w:t>年项目支出绩效目标批复表</w:t>
      </w:r>
    </w:p>
    <w:p>
      <w:pPr>
        <w:pStyle w:val="8"/>
        <w:keepNext w:val="0"/>
        <w:keepLines w:val="0"/>
        <w:pageBreakBefore w:val="0"/>
        <w:widowControl w:val="0"/>
        <w:kinsoku/>
        <w:wordWrap/>
        <w:overflowPunct/>
        <w:topLinePunct w:val="0"/>
        <w:autoSpaceDE/>
        <w:autoSpaceDN/>
        <w:bidi w:val="0"/>
        <w:spacing w:line="480" w:lineRule="exact"/>
        <w:ind w:left="0" w:leftChars="0" w:right="0" w:rightChars="0" w:firstLine="640" w:firstLineChars="200"/>
        <w:jc w:val="both"/>
        <w:textAlignment w:val="auto"/>
        <w:outlineLvl w:val="9"/>
        <w:rPr>
          <w:rFonts w:hint="eastAsia" w:ascii="仿宋_GB2312" w:hAnsi="宋体" w:eastAsia="仿宋_GB2312" w:cs="Times New Roman"/>
          <w:bCs/>
          <w:kern w:val="2"/>
          <w:sz w:val="32"/>
          <w:szCs w:val="32"/>
          <w:highlight w:val="none"/>
          <w:lang w:val="en-US" w:eastAsia="zh-CN" w:bidi="ar-SA"/>
        </w:rPr>
      </w:pPr>
      <w:r>
        <w:rPr>
          <w:rFonts w:hint="eastAsia" w:ascii="仿宋_GB2312" w:hAnsi="宋体" w:eastAsia="仿宋_GB2312" w:cs="Times New Roman"/>
          <w:bCs/>
          <w:kern w:val="2"/>
          <w:sz w:val="32"/>
          <w:szCs w:val="32"/>
          <w:highlight w:val="none"/>
          <w:lang w:val="en-US" w:eastAsia="zh-CN" w:bidi="ar-SA"/>
        </w:rPr>
        <w:t>2024年本单位无项目。</w:t>
      </w:r>
    </w:p>
    <w:p>
      <w:pPr>
        <w:adjustRightInd w:val="0"/>
        <w:snapToGrid w:val="0"/>
        <w:spacing w:line="580" w:lineRule="atLeast"/>
        <w:ind w:firstLine="640" w:firstLineChars="200"/>
        <w:rPr>
          <w:rFonts w:hint="eastAsia" w:ascii="仿宋_GB2312" w:hAnsi="宋体"/>
          <w:bCs/>
          <w:sz w:val="32"/>
          <w:szCs w:val="32"/>
          <w:highlight w:val="none"/>
          <w:lang w:val="en-US" w:eastAsia="zh-CN"/>
        </w:rPr>
      </w:pPr>
    </w:p>
    <w:p>
      <w:pPr>
        <w:adjustRightInd w:val="0"/>
        <w:snapToGrid w:val="0"/>
        <w:spacing w:line="580" w:lineRule="atLeast"/>
        <w:ind w:firstLine="640" w:firstLineChars="200"/>
        <w:rPr>
          <w:rFonts w:hint="default" w:ascii="仿宋_GB2312" w:hAnsi="宋体"/>
          <w:bCs/>
          <w:sz w:val="32"/>
          <w:szCs w:val="32"/>
          <w:highlight w:val="none"/>
          <w:lang w:val="en-US" w:eastAsia="zh-CN"/>
        </w:rPr>
      </w:pP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A491F1"/>
    <w:multiLevelType w:val="singleLevel"/>
    <w:tmpl w:val="BEA491F1"/>
    <w:lvl w:ilvl="0" w:tentative="0">
      <w:start w:val="2"/>
      <w:numFmt w:val="chineseCounting"/>
      <w:suff w:val="nothing"/>
      <w:lvlText w:val="（%1）"/>
      <w:lvlJc w:val="left"/>
      <w:rPr>
        <w:rFonts w:hint="eastAsia"/>
      </w:rPr>
    </w:lvl>
  </w:abstractNum>
  <w:abstractNum w:abstractNumId="1">
    <w:nsid w:val="73B24783"/>
    <w:multiLevelType w:val="singleLevel"/>
    <w:tmpl w:val="73B24783"/>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ZjU4NWI0NDhmMTg3MjVmYzYyZWQ0YTliYzY0ZDEifQ=="/>
  </w:docVars>
  <w:rsids>
    <w:rsidRoot w:val="34FA15B3"/>
    <w:rsid w:val="000C024B"/>
    <w:rsid w:val="000E0EEB"/>
    <w:rsid w:val="00434E6A"/>
    <w:rsid w:val="00813870"/>
    <w:rsid w:val="00C55CF3"/>
    <w:rsid w:val="0101192C"/>
    <w:rsid w:val="01381AFE"/>
    <w:rsid w:val="013A5933"/>
    <w:rsid w:val="01572697"/>
    <w:rsid w:val="01601AE1"/>
    <w:rsid w:val="018E67A5"/>
    <w:rsid w:val="01B9385C"/>
    <w:rsid w:val="01DA0B02"/>
    <w:rsid w:val="02064641"/>
    <w:rsid w:val="02242E8E"/>
    <w:rsid w:val="02371E69"/>
    <w:rsid w:val="02493090"/>
    <w:rsid w:val="02C80BBA"/>
    <w:rsid w:val="02CD601D"/>
    <w:rsid w:val="02E35179"/>
    <w:rsid w:val="02F144FA"/>
    <w:rsid w:val="038622C3"/>
    <w:rsid w:val="03905F64"/>
    <w:rsid w:val="041E7FB2"/>
    <w:rsid w:val="04504BAA"/>
    <w:rsid w:val="04864C3A"/>
    <w:rsid w:val="04D71BF2"/>
    <w:rsid w:val="051C72E3"/>
    <w:rsid w:val="05233E6C"/>
    <w:rsid w:val="05A143CE"/>
    <w:rsid w:val="05CF2FC7"/>
    <w:rsid w:val="05DE188C"/>
    <w:rsid w:val="063D4707"/>
    <w:rsid w:val="06986594"/>
    <w:rsid w:val="06FD1F85"/>
    <w:rsid w:val="070B10A0"/>
    <w:rsid w:val="07375BAD"/>
    <w:rsid w:val="07403656"/>
    <w:rsid w:val="074D22E3"/>
    <w:rsid w:val="0772396F"/>
    <w:rsid w:val="07D53739"/>
    <w:rsid w:val="07F972BF"/>
    <w:rsid w:val="08365FCE"/>
    <w:rsid w:val="085E58E2"/>
    <w:rsid w:val="08634DDA"/>
    <w:rsid w:val="08F46A11"/>
    <w:rsid w:val="092100EF"/>
    <w:rsid w:val="093107FD"/>
    <w:rsid w:val="093B57D2"/>
    <w:rsid w:val="09604D1B"/>
    <w:rsid w:val="097924AD"/>
    <w:rsid w:val="09B5523A"/>
    <w:rsid w:val="09D41DD9"/>
    <w:rsid w:val="09D81C01"/>
    <w:rsid w:val="0A04185D"/>
    <w:rsid w:val="0A5C6EE6"/>
    <w:rsid w:val="0A5F47CE"/>
    <w:rsid w:val="0AAF7387"/>
    <w:rsid w:val="0B254B5F"/>
    <w:rsid w:val="0B6952CF"/>
    <w:rsid w:val="0B7F5D75"/>
    <w:rsid w:val="0BFC0BE5"/>
    <w:rsid w:val="0C2548EB"/>
    <w:rsid w:val="0C294516"/>
    <w:rsid w:val="0C5B4D40"/>
    <w:rsid w:val="0D1B76B6"/>
    <w:rsid w:val="0D301A6D"/>
    <w:rsid w:val="0D4B07BB"/>
    <w:rsid w:val="0DBB252E"/>
    <w:rsid w:val="0E471764"/>
    <w:rsid w:val="0E537724"/>
    <w:rsid w:val="0E941B37"/>
    <w:rsid w:val="0F05604C"/>
    <w:rsid w:val="0F0658C5"/>
    <w:rsid w:val="0F0C1EB7"/>
    <w:rsid w:val="0F870803"/>
    <w:rsid w:val="0FE057B8"/>
    <w:rsid w:val="101F063E"/>
    <w:rsid w:val="10910DE3"/>
    <w:rsid w:val="10A06986"/>
    <w:rsid w:val="10A81F64"/>
    <w:rsid w:val="10EC17B7"/>
    <w:rsid w:val="112F47A9"/>
    <w:rsid w:val="11345598"/>
    <w:rsid w:val="114A2981"/>
    <w:rsid w:val="11812847"/>
    <w:rsid w:val="11852982"/>
    <w:rsid w:val="118916FB"/>
    <w:rsid w:val="125E0C3D"/>
    <w:rsid w:val="12CE17F6"/>
    <w:rsid w:val="13BF07FF"/>
    <w:rsid w:val="13C07028"/>
    <w:rsid w:val="141E0E93"/>
    <w:rsid w:val="148738CD"/>
    <w:rsid w:val="15062E37"/>
    <w:rsid w:val="150660B6"/>
    <w:rsid w:val="153D18EE"/>
    <w:rsid w:val="15D00A95"/>
    <w:rsid w:val="15E62E37"/>
    <w:rsid w:val="15E83826"/>
    <w:rsid w:val="160052C3"/>
    <w:rsid w:val="162D3043"/>
    <w:rsid w:val="163E24D2"/>
    <w:rsid w:val="16BF6E3B"/>
    <w:rsid w:val="16D0184C"/>
    <w:rsid w:val="172C428F"/>
    <w:rsid w:val="17740AA0"/>
    <w:rsid w:val="179C2C35"/>
    <w:rsid w:val="18104D40"/>
    <w:rsid w:val="181111FB"/>
    <w:rsid w:val="18281689"/>
    <w:rsid w:val="189D4E65"/>
    <w:rsid w:val="190D2C12"/>
    <w:rsid w:val="190D5627"/>
    <w:rsid w:val="193C6578"/>
    <w:rsid w:val="193E06B7"/>
    <w:rsid w:val="1B526827"/>
    <w:rsid w:val="1B724FAE"/>
    <w:rsid w:val="1B7F67A7"/>
    <w:rsid w:val="1BA60C03"/>
    <w:rsid w:val="1C9854C5"/>
    <w:rsid w:val="1D3B7BAB"/>
    <w:rsid w:val="1D6F5768"/>
    <w:rsid w:val="1D8071CA"/>
    <w:rsid w:val="1D881D31"/>
    <w:rsid w:val="1E40229B"/>
    <w:rsid w:val="1E9043BB"/>
    <w:rsid w:val="1EA77CED"/>
    <w:rsid w:val="1F8169C0"/>
    <w:rsid w:val="20422835"/>
    <w:rsid w:val="205C6966"/>
    <w:rsid w:val="20AE1A8D"/>
    <w:rsid w:val="20AF2801"/>
    <w:rsid w:val="20B13BBE"/>
    <w:rsid w:val="210554DB"/>
    <w:rsid w:val="21165F4F"/>
    <w:rsid w:val="2131158A"/>
    <w:rsid w:val="21876CA4"/>
    <w:rsid w:val="21AC4002"/>
    <w:rsid w:val="22704DE8"/>
    <w:rsid w:val="227671A8"/>
    <w:rsid w:val="22B943FC"/>
    <w:rsid w:val="22C30F5F"/>
    <w:rsid w:val="22EA351D"/>
    <w:rsid w:val="2308490F"/>
    <w:rsid w:val="23554AEF"/>
    <w:rsid w:val="238B2602"/>
    <w:rsid w:val="238D5611"/>
    <w:rsid w:val="23CF4EEA"/>
    <w:rsid w:val="23F6276A"/>
    <w:rsid w:val="24671D84"/>
    <w:rsid w:val="24776A6E"/>
    <w:rsid w:val="24AE34FB"/>
    <w:rsid w:val="25A538CB"/>
    <w:rsid w:val="25B15E7E"/>
    <w:rsid w:val="26E7357D"/>
    <w:rsid w:val="26FE58E2"/>
    <w:rsid w:val="271A0203"/>
    <w:rsid w:val="271C2267"/>
    <w:rsid w:val="2722195C"/>
    <w:rsid w:val="272342DD"/>
    <w:rsid w:val="27382361"/>
    <w:rsid w:val="274F566B"/>
    <w:rsid w:val="276673E4"/>
    <w:rsid w:val="27BA21B7"/>
    <w:rsid w:val="28492552"/>
    <w:rsid w:val="284A2686"/>
    <w:rsid w:val="28591F80"/>
    <w:rsid w:val="28675185"/>
    <w:rsid w:val="28EE12E9"/>
    <w:rsid w:val="29163DE7"/>
    <w:rsid w:val="2934229C"/>
    <w:rsid w:val="298011DE"/>
    <w:rsid w:val="298B6B53"/>
    <w:rsid w:val="29AC3D81"/>
    <w:rsid w:val="29B13146"/>
    <w:rsid w:val="2A4B3E10"/>
    <w:rsid w:val="2A687AD5"/>
    <w:rsid w:val="2AA46253"/>
    <w:rsid w:val="2B1C6CE5"/>
    <w:rsid w:val="2B6A4392"/>
    <w:rsid w:val="2BE32E56"/>
    <w:rsid w:val="2BEB7F5E"/>
    <w:rsid w:val="2C025A88"/>
    <w:rsid w:val="2C3132AD"/>
    <w:rsid w:val="2C3600F7"/>
    <w:rsid w:val="2C3B7B84"/>
    <w:rsid w:val="2C4B7F8C"/>
    <w:rsid w:val="2D281BA0"/>
    <w:rsid w:val="2D85673B"/>
    <w:rsid w:val="2D962788"/>
    <w:rsid w:val="2D9D77DC"/>
    <w:rsid w:val="2DAD0E4A"/>
    <w:rsid w:val="2DE06870"/>
    <w:rsid w:val="2DFB1885"/>
    <w:rsid w:val="2E1549E7"/>
    <w:rsid w:val="2EB0392B"/>
    <w:rsid w:val="2EBC2F2C"/>
    <w:rsid w:val="2F02518F"/>
    <w:rsid w:val="2F4337C4"/>
    <w:rsid w:val="2F7644D8"/>
    <w:rsid w:val="2FCB283C"/>
    <w:rsid w:val="301023DC"/>
    <w:rsid w:val="304F119F"/>
    <w:rsid w:val="30F235D8"/>
    <w:rsid w:val="30F47322"/>
    <w:rsid w:val="30F73B34"/>
    <w:rsid w:val="31622F41"/>
    <w:rsid w:val="319C1705"/>
    <w:rsid w:val="31A717FE"/>
    <w:rsid w:val="31BC2BBE"/>
    <w:rsid w:val="31C268FC"/>
    <w:rsid w:val="31F9231A"/>
    <w:rsid w:val="321B424B"/>
    <w:rsid w:val="32355B8A"/>
    <w:rsid w:val="32D54349"/>
    <w:rsid w:val="32E95C72"/>
    <w:rsid w:val="32EB3B6C"/>
    <w:rsid w:val="3399212F"/>
    <w:rsid w:val="33B379D5"/>
    <w:rsid w:val="342866FA"/>
    <w:rsid w:val="34302A6E"/>
    <w:rsid w:val="345474EF"/>
    <w:rsid w:val="34D1503A"/>
    <w:rsid w:val="34DA5511"/>
    <w:rsid w:val="34E86309"/>
    <w:rsid w:val="34FA15B3"/>
    <w:rsid w:val="357A422A"/>
    <w:rsid w:val="358C2629"/>
    <w:rsid w:val="35BE5626"/>
    <w:rsid w:val="35C03638"/>
    <w:rsid w:val="36AC53B7"/>
    <w:rsid w:val="36CD5139"/>
    <w:rsid w:val="36DA644C"/>
    <w:rsid w:val="36EF636B"/>
    <w:rsid w:val="36F95570"/>
    <w:rsid w:val="37447F4A"/>
    <w:rsid w:val="37D6480E"/>
    <w:rsid w:val="37E62267"/>
    <w:rsid w:val="381A7AD7"/>
    <w:rsid w:val="38373562"/>
    <w:rsid w:val="38535ADB"/>
    <w:rsid w:val="38A03443"/>
    <w:rsid w:val="38F66E93"/>
    <w:rsid w:val="392918CB"/>
    <w:rsid w:val="39605264"/>
    <w:rsid w:val="39766A1D"/>
    <w:rsid w:val="3A070AC5"/>
    <w:rsid w:val="3A5E052E"/>
    <w:rsid w:val="3A6B7A42"/>
    <w:rsid w:val="3AE65D28"/>
    <w:rsid w:val="3B1736C1"/>
    <w:rsid w:val="3B267ED4"/>
    <w:rsid w:val="3B3140E6"/>
    <w:rsid w:val="3B514788"/>
    <w:rsid w:val="3B936C25"/>
    <w:rsid w:val="3BC63127"/>
    <w:rsid w:val="3BF11BC5"/>
    <w:rsid w:val="3C010C50"/>
    <w:rsid w:val="3CE04876"/>
    <w:rsid w:val="3CF10E45"/>
    <w:rsid w:val="3DB80AEF"/>
    <w:rsid w:val="3DC82679"/>
    <w:rsid w:val="3DD66B86"/>
    <w:rsid w:val="3E2609B2"/>
    <w:rsid w:val="3E697FF5"/>
    <w:rsid w:val="3E722DCC"/>
    <w:rsid w:val="3E7758F0"/>
    <w:rsid w:val="3EB562E1"/>
    <w:rsid w:val="3ED54C2F"/>
    <w:rsid w:val="3EF67B21"/>
    <w:rsid w:val="3F5301FB"/>
    <w:rsid w:val="3F870779"/>
    <w:rsid w:val="3F8A7085"/>
    <w:rsid w:val="3F9264D0"/>
    <w:rsid w:val="402462FD"/>
    <w:rsid w:val="40404EE0"/>
    <w:rsid w:val="410D55F0"/>
    <w:rsid w:val="41163DD2"/>
    <w:rsid w:val="41171FD0"/>
    <w:rsid w:val="412A1D04"/>
    <w:rsid w:val="41560FC7"/>
    <w:rsid w:val="41A01FC6"/>
    <w:rsid w:val="41BA7659"/>
    <w:rsid w:val="41F45E6E"/>
    <w:rsid w:val="4276163D"/>
    <w:rsid w:val="429C1067"/>
    <w:rsid w:val="42F3082F"/>
    <w:rsid w:val="43053FBA"/>
    <w:rsid w:val="432929EE"/>
    <w:rsid w:val="43314A46"/>
    <w:rsid w:val="4357332E"/>
    <w:rsid w:val="43873C61"/>
    <w:rsid w:val="43B7462F"/>
    <w:rsid w:val="43D6649C"/>
    <w:rsid w:val="43D85A47"/>
    <w:rsid w:val="44145BCF"/>
    <w:rsid w:val="44154363"/>
    <w:rsid w:val="44265BF2"/>
    <w:rsid w:val="445157F9"/>
    <w:rsid w:val="44520322"/>
    <w:rsid w:val="44735802"/>
    <w:rsid w:val="447946B3"/>
    <w:rsid w:val="44A64897"/>
    <w:rsid w:val="4584483D"/>
    <w:rsid w:val="45862DAF"/>
    <w:rsid w:val="465115D2"/>
    <w:rsid w:val="466909FB"/>
    <w:rsid w:val="46870C4E"/>
    <w:rsid w:val="46E56339"/>
    <w:rsid w:val="46F04E55"/>
    <w:rsid w:val="4735161B"/>
    <w:rsid w:val="473F7061"/>
    <w:rsid w:val="476D0AD6"/>
    <w:rsid w:val="48284B85"/>
    <w:rsid w:val="48412859"/>
    <w:rsid w:val="48FD0D9E"/>
    <w:rsid w:val="49CD2466"/>
    <w:rsid w:val="4A204E21"/>
    <w:rsid w:val="4A311A18"/>
    <w:rsid w:val="4A3C43E7"/>
    <w:rsid w:val="4A452824"/>
    <w:rsid w:val="4A477D2B"/>
    <w:rsid w:val="4A6827B3"/>
    <w:rsid w:val="4A8D26AA"/>
    <w:rsid w:val="4A904F07"/>
    <w:rsid w:val="4AD02480"/>
    <w:rsid w:val="4B2256FB"/>
    <w:rsid w:val="4B365921"/>
    <w:rsid w:val="4CD90C6B"/>
    <w:rsid w:val="4CE74F4D"/>
    <w:rsid w:val="4D291E16"/>
    <w:rsid w:val="4D2D6B40"/>
    <w:rsid w:val="4D815663"/>
    <w:rsid w:val="4DC06A84"/>
    <w:rsid w:val="4DD27745"/>
    <w:rsid w:val="4DF27705"/>
    <w:rsid w:val="4DF72A08"/>
    <w:rsid w:val="4E091301"/>
    <w:rsid w:val="4E157A52"/>
    <w:rsid w:val="4E407F7D"/>
    <w:rsid w:val="4E4122C2"/>
    <w:rsid w:val="4E7E71F0"/>
    <w:rsid w:val="4E974ADF"/>
    <w:rsid w:val="4EF621E1"/>
    <w:rsid w:val="4F265EBB"/>
    <w:rsid w:val="4F7D56F4"/>
    <w:rsid w:val="501B218D"/>
    <w:rsid w:val="50271DE1"/>
    <w:rsid w:val="502C3407"/>
    <w:rsid w:val="504641EC"/>
    <w:rsid w:val="5059227D"/>
    <w:rsid w:val="50AD7110"/>
    <w:rsid w:val="50C86601"/>
    <w:rsid w:val="50E11F6B"/>
    <w:rsid w:val="50E77EFE"/>
    <w:rsid w:val="51093252"/>
    <w:rsid w:val="511A62E7"/>
    <w:rsid w:val="51283BE7"/>
    <w:rsid w:val="513C38D8"/>
    <w:rsid w:val="514221D5"/>
    <w:rsid w:val="51662594"/>
    <w:rsid w:val="519F7014"/>
    <w:rsid w:val="51B01DB1"/>
    <w:rsid w:val="51D87BE8"/>
    <w:rsid w:val="51E9384F"/>
    <w:rsid w:val="52154051"/>
    <w:rsid w:val="522C130E"/>
    <w:rsid w:val="52495D62"/>
    <w:rsid w:val="52E2163D"/>
    <w:rsid w:val="535019F0"/>
    <w:rsid w:val="539A5F0C"/>
    <w:rsid w:val="545119EE"/>
    <w:rsid w:val="5472471D"/>
    <w:rsid w:val="54DE3FA8"/>
    <w:rsid w:val="5515591A"/>
    <w:rsid w:val="55775A2B"/>
    <w:rsid w:val="55982094"/>
    <w:rsid w:val="561F4464"/>
    <w:rsid w:val="568923E9"/>
    <w:rsid w:val="56A33C92"/>
    <w:rsid w:val="56D31D46"/>
    <w:rsid w:val="571F3F16"/>
    <w:rsid w:val="573E3119"/>
    <w:rsid w:val="5757562F"/>
    <w:rsid w:val="577A106C"/>
    <w:rsid w:val="577C7FB3"/>
    <w:rsid w:val="578810DA"/>
    <w:rsid w:val="57972CDD"/>
    <w:rsid w:val="57BC26D6"/>
    <w:rsid w:val="580A53E6"/>
    <w:rsid w:val="581B48E5"/>
    <w:rsid w:val="58573E8E"/>
    <w:rsid w:val="58635FAD"/>
    <w:rsid w:val="58A10ED2"/>
    <w:rsid w:val="58A4109F"/>
    <w:rsid w:val="58D114CE"/>
    <w:rsid w:val="59843151"/>
    <w:rsid w:val="59C92C8C"/>
    <w:rsid w:val="59CC1752"/>
    <w:rsid w:val="59EE16C8"/>
    <w:rsid w:val="5A2502D0"/>
    <w:rsid w:val="5AA552CF"/>
    <w:rsid w:val="5B00605E"/>
    <w:rsid w:val="5B1633A1"/>
    <w:rsid w:val="5B1A3885"/>
    <w:rsid w:val="5BAF5274"/>
    <w:rsid w:val="5C0C22DA"/>
    <w:rsid w:val="5C0E23FC"/>
    <w:rsid w:val="5C175E50"/>
    <w:rsid w:val="5C567E53"/>
    <w:rsid w:val="5C8C6243"/>
    <w:rsid w:val="5CD82AD8"/>
    <w:rsid w:val="5CDA6CEF"/>
    <w:rsid w:val="5D290EB5"/>
    <w:rsid w:val="5D3F1D7D"/>
    <w:rsid w:val="5DEC1314"/>
    <w:rsid w:val="5E103F94"/>
    <w:rsid w:val="5E9A4FF4"/>
    <w:rsid w:val="5ED35331"/>
    <w:rsid w:val="5ED90A33"/>
    <w:rsid w:val="5ED94F20"/>
    <w:rsid w:val="5EFF3B40"/>
    <w:rsid w:val="5F1A093B"/>
    <w:rsid w:val="5F767B6B"/>
    <w:rsid w:val="5FBC2784"/>
    <w:rsid w:val="5FD12894"/>
    <w:rsid w:val="5FEE1AAE"/>
    <w:rsid w:val="5FF15109"/>
    <w:rsid w:val="5FFD73BA"/>
    <w:rsid w:val="600839FF"/>
    <w:rsid w:val="601131DA"/>
    <w:rsid w:val="60321477"/>
    <w:rsid w:val="60542927"/>
    <w:rsid w:val="608C39E9"/>
    <w:rsid w:val="60950820"/>
    <w:rsid w:val="609C5C96"/>
    <w:rsid w:val="60ED2CC2"/>
    <w:rsid w:val="611B3D01"/>
    <w:rsid w:val="614F35C8"/>
    <w:rsid w:val="615E036F"/>
    <w:rsid w:val="618C17C7"/>
    <w:rsid w:val="61B349D1"/>
    <w:rsid w:val="61D244B9"/>
    <w:rsid w:val="61D6728C"/>
    <w:rsid w:val="61D74D39"/>
    <w:rsid w:val="62246A3D"/>
    <w:rsid w:val="623D691B"/>
    <w:rsid w:val="62D65EC8"/>
    <w:rsid w:val="62EE686D"/>
    <w:rsid w:val="632B5225"/>
    <w:rsid w:val="633678A7"/>
    <w:rsid w:val="63461D37"/>
    <w:rsid w:val="63760EC2"/>
    <w:rsid w:val="637A2A65"/>
    <w:rsid w:val="63BF5087"/>
    <w:rsid w:val="63C74D38"/>
    <w:rsid w:val="63D0539D"/>
    <w:rsid w:val="64586D6A"/>
    <w:rsid w:val="646410EF"/>
    <w:rsid w:val="64B75DCF"/>
    <w:rsid w:val="64F953C5"/>
    <w:rsid w:val="65074B11"/>
    <w:rsid w:val="65C77490"/>
    <w:rsid w:val="65D200F0"/>
    <w:rsid w:val="65DC5745"/>
    <w:rsid w:val="6619635E"/>
    <w:rsid w:val="662951F5"/>
    <w:rsid w:val="66687C4D"/>
    <w:rsid w:val="666F025E"/>
    <w:rsid w:val="66DE2802"/>
    <w:rsid w:val="67B60569"/>
    <w:rsid w:val="67C7725F"/>
    <w:rsid w:val="67CF2A16"/>
    <w:rsid w:val="67D0731B"/>
    <w:rsid w:val="67F457BC"/>
    <w:rsid w:val="68071A03"/>
    <w:rsid w:val="682A7955"/>
    <w:rsid w:val="683A76EE"/>
    <w:rsid w:val="684D6587"/>
    <w:rsid w:val="68BF6E49"/>
    <w:rsid w:val="68D25322"/>
    <w:rsid w:val="69144C5D"/>
    <w:rsid w:val="69192A33"/>
    <w:rsid w:val="69237B72"/>
    <w:rsid w:val="69270753"/>
    <w:rsid w:val="69A26F6D"/>
    <w:rsid w:val="69F008B5"/>
    <w:rsid w:val="6A6056F5"/>
    <w:rsid w:val="6ACB0553"/>
    <w:rsid w:val="6B081E84"/>
    <w:rsid w:val="6B0C55CA"/>
    <w:rsid w:val="6B392B57"/>
    <w:rsid w:val="6C146581"/>
    <w:rsid w:val="6C16613E"/>
    <w:rsid w:val="6C1E3D4C"/>
    <w:rsid w:val="6C2F3E68"/>
    <w:rsid w:val="6C9C7E18"/>
    <w:rsid w:val="6D083ED8"/>
    <w:rsid w:val="6D275125"/>
    <w:rsid w:val="6D523637"/>
    <w:rsid w:val="6D825639"/>
    <w:rsid w:val="6E9300DC"/>
    <w:rsid w:val="6E9E5294"/>
    <w:rsid w:val="6EB02487"/>
    <w:rsid w:val="6F6E6637"/>
    <w:rsid w:val="6FD5299E"/>
    <w:rsid w:val="700D5716"/>
    <w:rsid w:val="70671532"/>
    <w:rsid w:val="70AA42E7"/>
    <w:rsid w:val="70B825D8"/>
    <w:rsid w:val="70CC1BE0"/>
    <w:rsid w:val="712A5044"/>
    <w:rsid w:val="7172168B"/>
    <w:rsid w:val="71836742"/>
    <w:rsid w:val="71CE1100"/>
    <w:rsid w:val="71CF072C"/>
    <w:rsid w:val="71E76CD1"/>
    <w:rsid w:val="72066002"/>
    <w:rsid w:val="725400A9"/>
    <w:rsid w:val="72B80A02"/>
    <w:rsid w:val="72C4086A"/>
    <w:rsid w:val="72D946E8"/>
    <w:rsid w:val="730665F6"/>
    <w:rsid w:val="73A0182E"/>
    <w:rsid w:val="73C82B32"/>
    <w:rsid w:val="73C94886"/>
    <w:rsid w:val="73D4594D"/>
    <w:rsid w:val="74297E63"/>
    <w:rsid w:val="745058B3"/>
    <w:rsid w:val="74937DF0"/>
    <w:rsid w:val="74BB58F5"/>
    <w:rsid w:val="750D7C9B"/>
    <w:rsid w:val="754B7577"/>
    <w:rsid w:val="75534997"/>
    <w:rsid w:val="7582039F"/>
    <w:rsid w:val="75A212B2"/>
    <w:rsid w:val="76396620"/>
    <w:rsid w:val="767C5066"/>
    <w:rsid w:val="76853563"/>
    <w:rsid w:val="769B5814"/>
    <w:rsid w:val="76B87678"/>
    <w:rsid w:val="76C45B99"/>
    <w:rsid w:val="771060F5"/>
    <w:rsid w:val="771E3AB1"/>
    <w:rsid w:val="773618D5"/>
    <w:rsid w:val="7789232A"/>
    <w:rsid w:val="77AD55BB"/>
    <w:rsid w:val="78BF2F4F"/>
    <w:rsid w:val="78D71452"/>
    <w:rsid w:val="78F73CFE"/>
    <w:rsid w:val="7913766D"/>
    <w:rsid w:val="79161336"/>
    <w:rsid w:val="79190AAF"/>
    <w:rsid w:val="79512273"/>
    <w:rsid w:val="79C1605A"/>
    <w:rsid w:val="79EA494D"/>
    <w:rsid w:val="7A052A73"/>
    <w:rsid w:val="7A286917"/>
    <w:rsid w:val="7A5942B7"/>
    <w:rsid w:val="7A985017"/>
    <w:rsid w:val="7AB52BF7"/>
    <w:rsid w:val="7ABC1291"/>
    <w:rsid w:val="7AF47C19"/>
    <w:rsid w:val="7B2D561E"/>
    <w:rsid w:val="7B3D391E"/>
    <w:rsid w:val="7B75534E"/>
    <w:rsid w:val="7B8E425A"/>
    <w:rsid w:val="7BB60F28"/>
    <w:rsid w:val="7BB839D0"/>
    <w:rsid w:val="7BDC009D"/>
    <w:rsid w:val="7BE12D5A"/>
    <w:rsid w:val="7BE130CB"/>
    <w:rsid w:val="7C0A7FF8"/>
    <w:rsid w:val="7C0E12FE"/>
    <w:rsid w:val="7C257112"/>
    <w:rsid w:val="7C314E64"/>
    <w:rsid w:val="7C4F4FED"/>
    <w:rsid w:val="7C6C4E24"/>
    <w:rsid w:val="7C847632"/>
    <w:rsid w:val="7D121450"/>
    <w:rsid w:val="7D284839"/>
    <w:rsid w:val="7D406136"/>
    <w:rsid w:val="7D4470D8"/>
    <w:rsid w:val="7D62244B"/>
    <w:rsid w:val="7D9E6686"/>
    <w:rsid w:val="7E1142EC"/>
    <w:rsid w:val="7E5D17F6"/>
    <w:rsid w:val="7EA94BA9"/>
    <w:rsid w:val="7F2A00E9"/>
    <w:rsid w:val="7F6D0163"/>
    <w:rsid w:val="7F7917BB"/>
    <w:rsid w:val="7F8A5F75"/>
    <w:rsid w:val="7F8E2356"/>
    <w:rsid w:val="7F9A3079"/>
    <w:rsid w:val="7F9D6387"/>
    <w:rsid w:val="7FB720E2"/>
    <w:rsid w:val="7FD74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customStyle="1" w:styleId="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
    <w:name w:val="正文缩进 + 首行缩进:  2 字符"/>
    <w:basedOn w:val="1"/>
    <w:qFormat/>
    <w:uiPriority w:val="0"/>
    <w:pPr>
      <w:spacing w:line="560" w:lineRule="exact"/>
      <w:ind w:firstLine="640"/>
    </w:pPr>
    <w:rPr>
      <w:rFonts w:ascii="仿宋" w:hAnsi="仿宋" w:eastAsia="仿宋" w:cs="宋体"/>
      <w:sz w:val="32"/>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7108</Words>
  <Characters>7433</Characters>
  <Lines>0</Lines>
  <Paragraphs>0</Paragraphs>
  <TotalTime>4</TotalTime>
  <ScaleCrop>false</ScaleCrop>
  <LinksUpToDate>false</LinksUpToDate>
  <CharactersWithSpaces>8728</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2023-05-10T01:13:00Z</dcterms:created>
  <dc:creator>111</dc:creator>
  <cp:lastModifiedBy>Administrator</cp:lastModifiedBy>
  <cp:lastPrinted>2023-11-03T03:41:00Z</cp:lastPrinted>
  <dcterms:modified xsi:type="dcterms:W3CDTF">2024-02-18T07:37:23Z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ICV">
    <vt:lpwstr>0FA31F5A89234308BD5F07FEDEF46034_13</vt:lpwstr>
  </property>
</Properties>
</file>